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0AA5" w:rsidRDefault="00B40AA5">
      <w:pPr>
        <w:rPr>
          <w:rtl/>
        </w:rPr>
      </w:pPr>
    </w:p>
    <w:p w:rsidR="00B40A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69" inset="0,0,0,0">
              <w:txbxContent>
                <w:p w:rsidR="00D80168" w:rsidRDefault="00D80168">
                  <w:r>
                    <w:rPr>
                      <w:rtl/>
                    </w:rPr>
                    <w:t>36                                           ספר החוקים 476                  י"ח בניסן התשכ"ו 08.04.1966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0" o:spid="_x0000_s1026" type="#_x0000_t202" style="position:absolute;left:0;text-align:left;margin-left:85.7pt;margin-top:663.45pt;width:410.65pt;height:71.85pt;z-index:3;mso-position-horizontal-relative:page;mso-position-vertical-relative:page" stroked="f">
            <v:textbox style="mso-next-textbox:#_x0000_s3070" inset="0,0,0,0">
              <w:txbxContent>
                <w:p w:rsidR="00D80168" w:rsidRDefault="00D80168">
                  <w:pPr>
                    <w:pStyle w:val="OCRStyle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 בניסן תשכ''ו (30 במרס 1966); הצעת החוק ודברי הסבר פורסמו בה"ח 657, תשכ''ה,</w:t>
                  </w:r>
                </w:p>
                <w:p w:rsidR="00D80168" w:rsidRDefault="00D80168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עמ' 250.</w:t>
                  </w:r>
                </w:p>
                <w:p w:rsidR="00D80168" w:rsidRPr="00B40AA5" w:rsidRDefault="00D80168">
                  <w:pPr>
                    <w:pStyle w:val="OCRStyle1"/>
                    <w:ind w:left="652"/>
                  </w:pPr>
                  <w:r>
                    <w:rPr>
                      <w:rtl/>
                    </w:rPr>
                    <w:t>1 ס"ח 176, תשט''ו, עמ' 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1" o:spid="_x0000_s1027" type="#_x0000_t202" style="position:absolute;left:0;text-align:left;margin-left:84.7pt;margin-top:107.05pt;width:474.2pt;height:554.4pt;z-index:2;mso-position-horizontal-relative:page;mso-position-vertical-relative:page" stroked="f">
            <v:textbox style="mso-next-textbox:#_x0000_s307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0"/>
                    <w:gridCol w:w="1152"/>
                    <w:gridCol w:w="1479"/>
                  </w:tblGrid>
                  <w:tr w:rsidR="00D80168" w:rsidRPr="00B40A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D80168" w:rsidRDefault="00D8016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8 לחוק איגודי ערים, תשט"ו-1955 1 (להלן ~ החוק העיקרי)' במקום סעיף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יבוא: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כל רשות מקומית שבתחום איגוד ערים זכאית להיות מיוצגת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על-ידי נציג אחד לפחות; משנקבעו רוב חברי המועצה, רשאית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לפעול.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הסמכות למנות נציג של רשות מקומית למועצת האיגוד היא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המועצה של אותה רשות מקומית; היא חייבת למנות נציג תוך ששה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לאחר הנבחרה, ורשאית בכל עת, על אף האמור בצו המקים,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מינויו של נציגה ולמנות אחר במקומו, וכל עוד לא נתמנה נציג</w:t>
                        </w:r>
                      </w:p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 יוסיף הנציג הקודם לכהן בתפקידו."</w:t>
                        </w:r>
                      </w:p>
                    </w:tc>
                    <w:tc>
                      <w:tcPr>
                        <w:tcW w:w="858" w:type="pct"/>
                      </w:tcPr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D80168" w:rsidRPr="00B40A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15 לחוק העיקרי יבוא:</w:t>
                        </w:r>
                      </w:p>
                    </w:tc>
                    <w:tc>
                      <w:tcPr>
                        <w:tcW w:w="858" w:type="pct"/>
                      </w:tcPr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D80168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הצו המקים יפרש -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הרשויות המקומיות המתאגדות;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תחום האיגוד;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תפקידיו וסמכויותיו של האיגוד;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מספר נציגיה של כל רשות מקומית במועצה?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תקופת כהונתה של המועצה ותקופת כהונתם של חבריה;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תפקידיהם וסמכויותיהם של המועצה וחבריה ושל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 האיגוד האחרים;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דרכי הקניית רכוש והטלת חוב, במקום שמילוי תפקידיו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האיגוד מחייב' לרגל הקמתו' להקנות לאיגוד רכוש של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מתאגדת או להטיל עליו חוב מחובותיה, או גם</w:t>
                        </w:r>
                      </w:p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וגם זה."</w:t>
                        </w:r>
                      </w:p>
                    </w:tc>
                    <w:tc>
                      <w:tcPr>
                        <w:tcW w:w="668" w:type="pct"/>
                      </w:tcPr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"דברים שיש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לפרשם בצו</w:t>
                        </w:r>
                      </w:p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המקים</w:t>
                        </w:r>
                      </w:p>
                    </w:tc>
                    <w:tc>
                      <w:tcPr>
                        <w:tcW w:w="858" w:type="pct"/>
                      </w:tcPr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80168" w:rsidRPr="00B40A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16 לחוק העיקרי, פסקה (6) - בטלה.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D80168" w:rsidRPr="00B40AA5">
                    <w:trPr>
                      <w:jc w:val="right"/>
                    </w:trPr>
                    <w:tc>
                      <w:tcPr>
                        <w:tcW w:w="4142" w:type="pct"/>
                        <w:gridSpan w:val="2"/>
                      </w:tcPr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16 לחוק העיקרי יבוא:</w:t>
                        </w:r>
                      </w:p>
                    </w:tc>
                    <w:tc>
                      <w:tcPr>
                        <w:tcW w:w="858" w:type="pct"/>
                      </w:tcPr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16א</w:t>
                        </w:r>
                      </w:p>
                    </w:tc>
                  </w:tr>
                  <w:tr w:rsidR="00D80168">
                    <w:trPr>
                      <w:jc w:val="right"/>
                    </w:trPr>
                    <w:tc>
                      <w:tcPr>
                        <w:tcW w:w="3474" w:type="pct"/>
                      </w:tcPr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שר הפנים רשאי, בהסכמת איגוד הערים, לתקן בצו את הוראות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המקים בכל ענין המפורט בסעיף 15, ובלבד שהסכימו לכך כל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שבתחום האיגוד; לא הסכימו כולן, לא יתוקן הצו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המקים אלא לאחר שהחליטה על כך הממשלה, והיא לא תחליט אלא לאחר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שנתנה לרשויות המקומיות המתנגדות הזדמנות להגיש לה את נימוקיהן</w:t>
                        </w:r>
                      </w:p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ובמועד שייקבעו.</w:t>
                        </w:r>
                      </w:p>
                    </w:tc>
                    <w:tc>
                      <w:tcPr>
                        <w:tcW w:w="668" w:type="pct"/>
                      </w:tcPr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הצו</w:t>
                        </w:r>
                      </w:p>
                      <w:p w:rsidR="00D80168" w:rsidRPr="00B40AA5" w:rsidRDefault="00D801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המקים</w:t>
                        </w:r>
                      </w:p>
                    </w:tc>
                    <w:tc>
                      <w:tcPr>
                        <w:tcW w:w="858" w:type="pct"/>
                      </w:tcPr>
                      <w:p w:rsidR="00D80168" w:rsidRDefault="00D8016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80168" w:rsidRDefault="00D801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2" o:spid="_x0000_s1028" type="#_x0000_t202" style="position:absolute;left:0;text-align:left;margin-left:176.35pt;margin-top:72.6pt;width:227.1pt;height:26.15pt;z-index:1;mso-position-horizontal-relative:page;mso-position-vertical-relative:page" stroked="f">
            <v:textbox style="mso-next-textbox:#_x0000_s3072" inset="0,0,0,0">
              <w:txbxContent>
                <w:p w:rsidR="00D80168" w:rsidRPr="00B40AA5" w:rsidRDefault="00D80168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איגודי ערים (תיקון), תשכ"ו-1966 *</w:t>
                  </w:r>
                </w:p>
              </w:txbxContent>
            </v:textbox>
            <w10:wrap anchorx="page" anchory="page"/>
          </v:shape>
        </w:pict>
      </w:r>
    </w:p>
    <w:p w:rsidR="00D80168" w:rsidRDefault="00D80168">
      <w:pPr>
        <w:rPr>
          <w:rtl/>
        </w:rPr>
      </w:pPr>
      <w:r>
        <w:rPr>
          <w:rtl/>
        </w:rPr>
        <w:br w:type="page"/>
      </w:r>
    </w:p>
    <w:p w:rsidR="00D80168" w:rsidRDefault="00000000">
      <w:pPr>
        <w:rPr>
          <w:rtl/>
        </w:rPr>
      </w:pPr>
      <w:r>
        <w:pict>
          <v:shape id="_x0000_s307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73" inset="0,0,0,0">
              <w:txbxContent>
                <w:p w:rsidR="00D80168" w:rsidRDefault="00D80168">
                  <w:r>
                    <w:rPr>
                      <w:rtl/>
                    </w:rPr>
                    <w:t>37                                           ספר החוקים 476                  י"ח בניסן התשכ"ו 08.04.1966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4" o:spid="_x0000_s1030" type="#_x0000_t202" style="position:absolute;left:0;text-align:left;margin-left:365.15pt;margin-top:705.35pt;width:186.5pt;height:39.6pt;z-index:9;mso-position-horizontal-relative:page;mso-position-vertical-relative:page" stroked="f">
            <v:textbox style="mso-next-textbox:#_x0000_s3074" inset="0,0,0,0">
              <w:txbxContent>
                <w:p w:rsidR="00D80168" w:rsidRDefault="00D8016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75" o:spid="_x0000_s1031" type="#_x0000_t202" style="position:absolute;left:0;text-align:left;margin-left:169.15pt;margin-top:477.05pt;width:120pt;height:43.75pt;z-index:8;mso-position-horizontal-relative:page;mso-position-vertical-relative:page" stroked="f">
            <v:textbox style="mso-next-textbox:#_x0000_s3075" inset="0,0,0,0">
              <w:txbxContent>
                <w:p w:rsidR="00D80168" w:rsidRDefault="00D80168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D80168" w:rsidRDefault="00D80168">
                  <w:pPr>
                    <w:pStyle w:val="OCRStyle2"/>
                    <w:ind w:left="6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6" o:spid="_x0000_s1032" type="#_x0000_t202" style="position:absolute;left:0;text-align:left;margin-left:304.55pt;margin-top:478.05pt;width:94.85pt;height:45.95pt;z-index:7;mso-position-horizontal-relative:page;mso-position-vertical-relative:page" stroked="f">
            <v:textbox style="mso-next-textbox:#_x0000_s3076" inset="0,0,0,0">
              <w:txbxContent>
                <w:p w:rsidR="00D80168" w:rsidRDefault="00D80168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80168" w:rsidRDefault="00D80168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7" o:spid="_x0000_s1033" type="#_x0000_t202" style="position:absolute;left:0;text-align:left;margin-left:428.7pt;margin-top:515.7pt;width:124.95pt;height:42.75pt;z-index:6;mso-position-horizontal-relative:page;mso-position-vertical-relative:page" stroked="f">
            <v:textbox style="mso-next-textbox:#_x0000_s3077" inset="0,0,0,0">
              <w:txbxContent>
                <w:p w:rsidR="00D80168" w:rsidRDefault="00D80168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80168" w:rsidRDefault="00D80168">
                  <w:pPr>
                    <w:pStyle w:val="OCRStyle2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8" o:spid="_x0000_s1034" type="#_x0000_t202" style="position:absolute;left:0;text-align:left;margin-left:100.4pt;margin-top:62.25pt;width:454.4pt;height:383.55pt;z-index:5;mso-position-horizontal-relative:page;mso-position-vertical-relative:page" stroked="f">
            <v:textbox style="mso-next-textbox:#_x0000_s30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5678"/>
                    <w:gridCol w:w="1461"/>
                  </w:tblGrid>
                  <w:tr w:rsidR="00D8016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רשאי, בהסכמת איגוד הערים, בצו לתקן את הצו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המקים בכל ענין המפורט בסעיף 16 ; אולם אם התנגדו לתיקון יותר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הרשויות המקומיות שבתחום האיגוד, לא יתוקן הצר אלא לאחר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שהחליטה על כך הממשלה."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80168" w:rsidRPr="00D80168">
                    <w:trPr>
                      <w:jc w:val="right"/>
                    </w:trPr>
                    <w:tc>
                      <w:tcPr>
                        <w:tcW w:w="680" w:type="pct"/>
                        <w:vMerge w:val="restar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80168" w:rsidRP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 עד 17ג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D80168" w:rsidRP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17 לחוק העיקרי יבוא:</w:t>
                        </w:r>
                      </w:p>
                    </w:tc>
                  </w:tr>
                  <w:tr w:rsidR="00D80168" w:rsidRPr="00D80168">
                    <w:trPr>
                      <w:jc w:val="right"/>
                    </w:trPr>
                    <w:tc>
                      <w:tcPr>
                        <w:tcW w:w="680" w:type="pct"/>
                        <w:vMerge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שר הפנים רשאי, בצו, לפרק איגוד ערים אם החליטה על כך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האיגוד ברוב חבריה או אם ועדת חקירה, שמינה שר הפנים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המשפטים, המליצה על הפירוק, לאחר שמצאה שאין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ממלא את תפקידיו כראוי.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רוב חבריה של ועדת חקירה כאמור יהיו משאינם עובדי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ולא יהיה בה חבר מועצת האיגוד או חבר במועצה של רשות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המאוגדת באיגוד.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'"פירוק איגוד</w:t>
                        </w:r>
                      </w:p>
                      <w:p w:rsidR="00D80168" w:rsidRP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ערים</w:t>
                        </w:r>
                      </w:p>
                    </w:tc>
                  </w:tr>
                  <w:tr w:rsidR="00D80168" w:rsidRPr="00D8016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17ב. (א) בצו המפרק איגוד ערים רשאי שר הפנים לכלול הוראות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הקניית רכוש האיגוד לרשויות מקומיות שבתחומו ובדבר תיאום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וחלוקת חובות וזכויות ביניהן, וכן שאר הוראות הנראות לו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דרושות לביצוע הפירוק.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המפרק איגוד ערים רשאי שר הפנים גם למנות אדם או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לבצע את הפירוק; עשה כן, יקבע בצו את דרכי הערעור על החלטת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המפרק.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בקשר</w:t>
                        </w:r>
                      </w:p>
                      <w:p w:rsidR="00D80168" w:rsidRP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פירוק</w:t>
                        </w:r>
                      </w:p>
                    </w:tc>
                  </w:tr>
                  <w:tr w:rsidR="00D80168" w:rsidRPr="00D80168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17ג. שר הפנים רשאי לאצול מסמכויותיו לפי הסעיפים 11 עד 13, פרט</w:t>
                        </w:r>
                      </w:p>
                      <w:p w:rsid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לסמכותו להתקין תקנות לפי סעיף 11 (ב)."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80168" w:rsidRPr="00D80168" w:rsidRDefault="00D801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</w:tbl>
                <w:p w:rsidR="00D80168" w:rsidRDefault="00D8016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0A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6056ED-23D0-46E1-8D51-21A50B66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0AA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801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2008-04-06T20:38:00Z</dcterms:created>
  <dcterms:modified xsi:type="dcterms:W3CDTF">2008-04-06T20:38:00Z</dcterms:modified>
</cp:coreProperties>
</file>