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1513F" w:rsidRDefault="0031513F">
      <w:pPr>
        <w:rPr>
          <w:rtl/>
        </w:rPr>
      </w:pPr>
    </w:p>
    <w:p w:rsidR="0031513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4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41" inset="0,0,0,0">
              <w:txbxContent>
                <w:p w:rsidR="003A2378" w:rsidRDefault="003A2378">
                  <w:r>
                    <w:rPr>
                      <w:rtl/>
                    </w:rPr>
                    <w:t>78                                          ספר החוקים 1080                  י"ז בניסן התשמ"ג 31.03.1983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2" o:spid="_x0000_s1026" type="#_x0000_t202" style="position:absolute;left:0;text-align:left;margin-left:78.15pt;margin-top:654.05pt;width:400.15pt;height:79.2pt;z-index:3;mso-wrap-style:none;mso-position-horizontal-relative:page;mso-position-vertical-relative:page" stroked="f">
            <v:textbox style="mso-next-textbox:#_x0000_s3142" inset="0,0,0,0">
              <w:txbxContent>
                <w:p w:rsidR="003A2378" w:rsidRDefault="003A2378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בניסן התשמ''ג (22 במרס 1983); הצעת החוק ודברי הסבר פורסמו בה''ח 1581,</w:t>
                  </w:r>
                </w:p>
                <w:p w:rsidR="003A2378" w:rsidRDefault="003A2378">
                  <w:pPr>
                    <w:pStyle w:val="OCRStyle1"/>
                    <w:ind w:left="4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חתשמ''ב, עמ' 204.</w:t>
                  </w:r>
                </w:p>
                <w:p w:rsidR="003A2378" w:rsidRPr="0031513F" w:rsidRDefault="003A2378">
                  <w:pPr>
                    <w:pStyle w:val="OCRStyle1"/>
                    <w:ind w:left="2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התשל"ח, עמ' 61.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3" o:spid="_x0000_s1027" type="#_x0000_t202" style="position:absolute;left:0;text-align:left;margin-left:87.25pt;margin-top:96.3pt;width:460.35pt;height:553.6pt;z-index:2;mso-wrap-style:none;mso-position-horizontal-relative:page;mso-position-vertical-relative:page" stroked="f">
            <v:textbox style="mso-next-textbox:#_x0000_s3143" inset="0,0,0,0">
              <w:txbxContent>
                <w:tbl>
                  <w:tblPr>
                    <w:tblW w:w="491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3"/>
                    <w:gridCol w:w="1271"/>
                    <w:gridCol w:w="1277"/>
                  </w:tblGrid>
                  <w:tr w:rsidR="003A2378" w:rsidRPr="0031513F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3A2378" w:rsidRDefault="003A237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9 לחוק האפוטרופוס הכללי, התשל"ח-- 1978 1 (להלן - החוק העיקרי),</w:t>
                        </w:r>
                      </w:p>
                      <w:p w:rsidR="003A2378" w:rsidRDefault="003A2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(ב) יסומן (ג) ולפניו יבוא:</w:t>
                        </w:r>
                      </w:p>
                      <w:p w:rsidR="003A2378" w:rsidRDefault="003A2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מנהל האפוטרופוס הכללי את נכסי עזבונו של פלוני, רשאי הוא</w:t>
                        </w:r>
                      </w:p>
                      <w:p w:rsidR="003A2378" w:rsidRDefault="003A2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לסלק מתוכם, לפי שיקול דעתו, את ההוצאות הכרוכות בהלוויתו, בקבורתו,</w:t>
                        </w:r>
                      </w:p>
                      <w:p w:rsidR="003A2378" w:rsidRPr="0031513F" w:rsidRDefault="003A2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בהצבת מצבה על קברו וכן באזכרתו לפי הנהוג בנסיבות הענין."</w:t>
                        </w:r>
                      </w:p>
                    </w:tc>
                    <w:tc>
                      <w:tcPr>
                        <w:tcW w:w="763" w:type="pct"/>
                      </w:tcPr>
                      <w:p w:rsidR="003A2378" w:rsidRPr="0031513F" w:rsidRDefault="003A23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תיקיו סעיף 9</w:t>
                        </w:r>
                      </w:p>
                    </w:tc>
                  </w:tr>
                  <w:tr w:rsidR="003A2378" w:rsidRPr="0031513F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3A2378" w:rsidRDefault="003A23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15 לחוק העיקרי, במקום סעיף קטן (ב) יבוא:</w:t>
                        </w:r>
                      </w:p>
                      <w:p w:rsidR="003A2378" w:rsidRDefault="003A2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הגיע ניהולו של נכס לפי צו ניהול לסיומו, או שנתברר שלא היה</w:t>
                        </w:r>
                      </w:p>
                      <w:p w:rsidR="003A2378" w:rsidRDefault="003A2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לתת עליו צו ניהול, יתן האפוטרופוס הכללי לבית המשפט דין וחשבון</w:t>
                        </w:r>
                      </w:p>
                      <w:p w:rsidR="003A2378" w:rsidRDefault="003A2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וימסור לו את החשבונות המתייחסים לאותו נכס, כשהם מבוקרים כפי שנקבע</w:t>
                        </w:r>
                      </w:p>
                      <w:p w:rsidR="003A2378" w:rsidRDefault="003A2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בתקנות; אחריותו של האפוטרופוס הכללי לגבי הנכס תסתיים ביום שבו</w:t>
                        </w:r>
                      </w:p>
                      <w:p w:rsidR="003A2378" w:rsidRDefault="003A2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אישר את הדין וחשבון, ואם הנכס נמסר בדרך שנקבעה בתקנות</w:t>
                        </w:r>
                      </w:p>
                      <w:p w:rsidR="003A2378" w:rsidRPr="0031513F" w:rsidRDefault="003A2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ביום המסירה כפי שאישרו בית המשפט מראש או למפרע, לפי המוקדם."</w:t>
                        </w:r>
                      </w:p>
                    </w:tc>
                    <w:tc>
                      <w:tcPr>
                        <w:tcW w:w="763" w:type="pct"/>
                      </w:tcPr>
                      <w:p w:rsidR="003A2378" w:rsidRPr="0031513F" w:rsidRDefault="003A23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</w:t>
                        </w:r>
                      </w:p>
                    </w:tc>
                  </w:tr>
                  <w:tr w:rsidR="003A2378" w:rsidRPr="0031513F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3A2378" w:rsidRDefault="003A23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האמור בסעיף 20 לחוק העיקרי יסומן (א) ואחריו יבוא:</w:t>
                        </w:r>
                      </w:p>
                      <w:p w:rsidR="003A2378" w:rsidRDefault="003A2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ניהל האפוטרופוס הכללי נכס של אדם לפי חוק אחר, ללא צו של</w:t>
                        </w:r>
                      </w:p>
                      <w:p w:rsidR="003A2378" w:rsidRDefault="003A2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המשפט, ואותו אדם נפטר, יראו מיום הפטירה את האפוטרופוס הכללי</w:t>
                        </w:r>
                      </w:p>
                      <w:p w:rsidR="003A2378" w:rsidRPr="0031513F" w:rsidRDefault="003A2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כמנהל הנכס על פי צו ניהול לפי חוק זה."</w:t>
                        </w:r>
                      </w:p>
                    </w:tc>
                    <w:tc>
                      <w:tcPr>
                        <w:tcW w:w="763" w:type="pct"/>
                      </w:tcPr>
                      <w:p w:rsidR="003A2378" w:rsidRPr="0031513F" w:rsidRDefault="003A23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תיקיו סעיף 20</w:t>
                        </w:r>
                      </w:p>
                    </w:tc>
                  </w:tr>
                  <w:tr w:rsidR="003A2378" w:rsidRPr="0031513F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3A2378" w:rsidRPr="0031513F" w:rsidRDefault="003A2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אחרי סעיף 22 לחוק העיקרי יבוא:</w:t>
                        </w:r>
                      </w:p>
                    </w:tc>
                    <w:tc>
                      <w:tcPr>
                        <w:tcW w:w="763" w:type="pct"/>
                      </w:tcPr>
                      <w:p w:rsidR="003A2378" w:rsidRDefault="003A23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3A2378" w:rsidRPr="0031513F" w:rsidRDefault="003A23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22א</w:t>
                        </w:r>
                      </w:p>
                    </w:tc>
                  </w:tr>
                  <w:tr w:rsidR="003A2378">
                    <w:trPr>
                      <w:jc w:val="right"/>
                    </w:trPr>
                    <w:tc>
                      <w:tcPr>
                        <w:tcW w:w="3478" w:type="pct"/>
                      </w:tcPr>
                      <w:p w:rsidR="003A2378" w:rsidRDefault="003A2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22א. (א) שבר האפוטרופוס הכללי שנקבע בתקנות לפי סעיף 23(א)</w:t>
                        </w:r>
                      </w:p>
                      <w:p w:rsidR="003A2378" w:rsidRDefault="003A2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(להלן - השכר) יחושב -</w:t>
                        </w:r>
                      </w:p>
                      <w:p w:rsidR="003A2378" w:rsidRDefault="003A2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הנכסים האמורים בסעיף 21 - מיום הקנייתם</w:t>
                        </w:r>
                      </w:p>
                      <w:p w:rsidR="003A2378" w:rsidRDefault="003A2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לממונה על רכוש האויב ;</w:t>
                        </w:r>
                      </w:p>
                      <w:p w:rsidR="003A2378" w:rsidRDefault="003A2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נכסים כאמור בסעיף 22 שערב תחילתו של חוק</w:t>
                        </w:r>
                      </w:p>
                      <w:p w:rsidR="003A2378" w:rsidRDefault="003A2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היו מוקנים לאפוטרופוס הכללי או שהיו בניהול שלו -</w:t>
                        </w:r>
                      </w:p>
                      <w:p w:rsidR="003A2378" w:rsidRDefault="003A2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מתן הצו הקודם;</w:t>
                        </w:r>
                      </w:p>
                      <w:p w:rsidR="003A2378" w:rsidRDefault="003A2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נכסים שערב תחילתו של חוק זה נוהלו בידי</w:t>
                        </w:r>
                      </w:p>
                      <w:p w:rsidR="003A2378" w:rsidRDefault="003A2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 הכללי לפי חוק אחר - מתחילת הניהול.</w:t>
                        </w:r>
                      </w:p>
                      <w:p w:rsidR="003A2378" w:rsidRDefault="003A2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שולמה לפני תחילת חוק זה לממונה על רכוש האויב או לאפוט-</w:t>
                        </w:r>
                      </w:p>
                      <w:p w:rsidR="003A2378" w:rsidRDefault="003A2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רופוס הכללי אגרה בעד ניהול נכסים כאמור בסעיף קטן ;א), ינוכה</w:t>
                        </w:r>
                      </w:p>
                      <w:p w:rsidR="003A2378" w:rsidRDefault="003A2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מהשכר סכום האגרה ששולם כאמור וכן הפרשי הצמדה על אותו סכום,</w:t>
                        </w:r>
                      </w:p>
                      <w:p w:rsidR="003A2378" w:rsidRDefault="003A2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שיחושבו לפי עליית מדד המחירים לצרכן, מהמדד שפורסם סמור לפני</w:t>
                        </w:r>
                      </w:p>
                      <w:p w:rsidR="003A2378" w:rsidRPr="0031513F" w:rsidRDefault="003A2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האגרה עד המדד שפורסם סמור לפני תשלום השכר."</w:t>
                        </w:r>
                      </w:p>
                    </w:tc>
                    <w:tc>
                      <w:tcPr>
                        <w:tcW w:w="759" w:type="pct"/>
                      </w:tcPr>
                      <w:p w:rsidR="003A2378" w:rsidRDefault="003A2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"חישוב שכר</w:t>
                        </w:r>
                      </w:p>
                      <w:p w:rsidR="003A2378" w:rsidRDefault="003A23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האפוטרופוס</w:t>
                        </w:r>
                      </w:p>
                      <w:p w:rsidR="003A2378" w:rsidRPr="0031513F" w:rsidRDefault="003A23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הכילי</w:t>
                        </w:r>
                      </w:p>
                    </w:tc>
                    <w:tc>
                      <w:tcPr>
                        <w:tcW w:w="763" w:type="pct"/>
                      </w:tcPr>
                      <w:p w:rsidR="003A2378" w:rsidRDefault="003A237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A2378" w:rsidRDefault="003A237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44" o:spid="_x0000_s1028" type="#_x0000_t202" style="position:absolute;left:0;text-align:left;margin-left:140.75pt;margin-top:77.25pt;width:274.05pt;height:16.65pt;z-index:1;mso-wrap-style:none;mso-position-horizontal-relative:page;mso-position-vertical-relative:page" stroked="f">
            <v:textbox style="mso-next-textbox:#_x0000_s3144" inset="0,0,0,0">
              <w:txbxContent>
                <w:p w:rsidR="003A2378" w:rsidRPr="0031513F" w:rsidRDefault="003A2378">
                  <w:pPr>
                    <w:pStyle w:val="OCRStyle1"/>
                    <w:ind w:left="230"/>
                    <w:rPr>
                      <w:sz w:val="22"/>
                      <w:szCs w:val="22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האפוטרופוס הכללי (תיקון), התשמ"ג--1983</w:t>
                  </w:r>
                </w:p>
              </w:txbxContent>
            </v:textbox>
            <w10:wrap anchorx="page" anchory="page"/>
          </v:shape>
        </w:pict>
      </w:r>
    </w:p>
    <w:p w:rsidR="003A2378" w:rsidRDefault="003A2378">
      <w:pPr>
        <w:rPr>
          <w:rtl/>
        </w:rPr>
      </w:pPr>
      <w:r>
        <w:rPr>
          <w:rtl/>
        </w:rPr>
        <w:br w:type="page"/>
      </w:r>
    </w:p>
    <w:p w:rsidR="003A2378" w:rsidRDefault="00000000">
      <w:pPr>
        <w:rPr>
          <w:rtl/>
        </w:rPr>
      </w:pPr>
      <w:r>
        <w:pict>
          <v:shape id="_x0000_s3145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145" inset="0,0,0,0">
              <w:txbxContent>
                <w:p w:rsidR="003A2378" w:rsidRDefault="003A2378">
                  <w:r>
                    <w:rPr>
                      <w:rtl/>
                    </w:rPr>
                    <w:t>79                                          ספר החוקים 1080                  י"ז בניסן התשמ"ג 31.03.1983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6" o:spid="_x0000_s1030" type="#_x0000_t202" style="position:absolute;left:0;text-align:left;margin-left:392.65pt;margin-top:239.45pt;width:162.35pt;height:28.1pt;z-index:9;mso-wrap-style:none;mso-position-horizontal-relative:page;mso-position-vertical-relative:page" stroked="f">
            <v:textbox style="mso-next-textbox:#_x0000_s3146" inset="0,0,0,0">
              <w:txbxContent>
                <w:p w:rsidR="003A2378" w:rsidRPr="003A2378" w:rsidRDefault="003A2378">
                  <w:pPr>
                    <w:pStyle w:val="OCRStyle2"/>
                    <w:ind w:left="18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ס"ח התש''י, עמ' 138; התשי''ג, עמ' 178.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7" o:spid="_x0000_s1031" type="#_x0000_t202" style="position:absolute;left:0;text-align:left;margin-left:188.7pt;margin-top:161.85pt;width:82.55pt;height:35.65pt;z-index:8;mso-wrap-style:none;mso-position-horizontal-relative:page;mso-position-vertical-relative:page" stroked="f">
            <v:textbox style="mso-next-textbox:#_x0000_s3147" inset="0,0,0,0">
              <w:txbxContent>
                <w:p w:rsidR="003A2378" w:rsidRDefault="003A2378">
                  <w:pPr>
                    <w:pStyle w:val="OCRStyle2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3A2378" w:rsidRDefault="003A2378">
                  <w:pPr>
                    <w:pStyle w:val="OCRStyle2"/>
                    <w:ind w:left="184"/>
                  </w:pPr>
                  <w:r>
                    <w:rPr>
                      <w:rtl/>
                    </w:rPr>
                    <w:t>שר המשסטים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8" o:spid="_x0000_s1032" type="#_x0000_t202" style="position:absolute;left:0;text-align:left;margin-left:313.45pt;margin-top:164.45pt;width:95.65pt;height:35.45pt;z-index:7;mso-wrap-style:none;mso-position-horizontal-relative:page;mso-position-vertical-relative:page" stroked="f">
            <v:textbox style="mso-next-textbox:#_x0000_s3148" inset="0,0,0,0">
              <w:txbxContent>
                <w:p w:rsidR="003A2378" w:rsidRDefault="003A2378">
                  <w:pPr>
                    <w:pStyle w:val="OCRStyle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3A2378" w:rsidRDefault="003A2378">
                  <w:pPr>
                    <w:pStyle w:val="OCRStyle2"/>
                    <w:ind w:left="36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9" o:spid="_x0000_s1033" type="#_x0000_t202" style="position:absolute;left:0;text-align:left;margin-left:441.15pt;margin-top:190.75pt;width:84.95pt;height:38pt;z-index:6;mso-wrap-style:none;mso-position-horizontal-relative:page;mso-position-vertical-relative:page" stroked="f">
            <v:textbox style="mso-next-textbox:#_x0000_s3149" inset="0,0,0,0">
              <w:txbxContent>
                <w:p w:rsidR="003A2378" w:rsidRDefault="003A2378">
                  <w:pPr>
                    <w:pStyle w:val="OCRStyle2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3A2378" w:rsidRDefault="003A2378">
                  <w:pPr>
                    <w:pStyle w:val="OCRStyle2"/>
                    <w:ind w:left="2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0" o:spid="_x0000_s1034" type="#_x0000_t202" style="position:absolute;left:0;text-align:left;margin-left:107.95pt;margin-top:70.4pt;width:450.45pt;height:84.95pt;z-index:5;mso-wrap-style:none;mso-position-horizontal-relative:page;mso-position-vertical-relative:page" stroked="f">
            <v:textbox style="mso-next-textbox:#_x0000_s3150" inset="0,0,0,0">
              <w:txbxContent>
                <w:tbl>
                  <w:tblPr>
                    <w:tblW w:w="48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7"/>
                    <w:gridCol w:w="7064"/>
                  </w:tblGrid>
                  <w:tr w:rsidR="003A2378" w:rsidRPr="003A2378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3A2378" w:rsidRDefault="003A237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3A2378" w:rsidRDefault="003A237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הסדרי משפט</w:t>
                        </w:r>
                      </w:p>
                      <w:p w:rsidR="003A2378" w:rsidRPr="003A2378" w:rsidRDefault="003A237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ומינהל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3A2378" w:rsidRDefault="003A237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בחוק הסדרי משפט ומינהל [נוסח משולב], התש"ל-21970, בסעיף 5(ב), במקום</w:t>
                        </w:r>
                      </w:p>
                      <w:p w:rsidR="003A2378" w:rsidRDefault="003A23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הסיטה המתחילה במלים "כל עוד" יבוא: "כל עוד לא שוחררו המקרקעין, יעשה בהם</w:t>
                        </w:r>
                      </w:p>
                      <w:p w:rsidR="003A2378" w:rsidRDefault="003A23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 הכללי כפי שהוא רשאי לעשות בנכס עזוב שלגביו ניתן לו צו ניהול לטי</w:t>
                        </w:r>
                      </w:p>
                      <w:p w:rsidR="003A2378" w:rsidRDefault="003A23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6(א) לחוק האפוטרופוס הכללי, התשל"ח-1978, והוראות סעיף 15 (ג) ו- (ד) לחוק</w:t>
                        </w:r>
                      </w:p>
                      <w:p w:rsidR="003A2378" w:rsidRPr="003A2378" w:rsidRDefault="003A23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יחולו."</w:t>
                        </w:r>
                      </w:p>
                    </w:tc>
                  </w:tr>
                </w:tbl>
                <w:p w:rsidR="003A2378" w:rsidRDefault="003A237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1513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F977617-87AA-401E-87DC-AC3C1EF03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1513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A237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2008-04-07T01:26:00Z</dcterms:created>
  <dcterms:modified xsi:type="dcterms:W3CDTF">2008-04-07T01:26:00Z</dcterms:modified>
</cp:coreProperties>
</file>