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3509" w:rsidRDefault="00D13509">
      <w:pPr>
        <w:rPr>
          <w:rtl/>
        </w:rPr>
      </w:pPr>
    </w:p>
    <w:p w:rsidR="00D1350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7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72" inset="0,0,0,0">
              <w:txbxContent>
                <w:p w:rsidR="00D13509" w:rsidRDefault="00D13509">
                  <w:r>
                    <w:rPr>
                      <w:rtl/>
                    </w:rPr>
                    <w:t>8                                            ספר החוקים 320                  כ' בכסליו התשכ"א 09.12.1960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3" o:spid="_x0000_s1026" type="#_x0000_t202" style="position:absolute;left:0;text-align:left;margin-left:74.35pt;margin-top:672.85pt;width:384.1pt;height:82.95pt;z-index:6;mso-position-horizontal-relative:page;mso-position-vertical-relative:page" stroked="f">
            <v:textbox style="mso-next-textbox:#_x0000_s3173" inset="0,0,0,0">
              <w:txbxContent>
                <w:p w:rsidR="00D13509" w:rsidRDefault="00D13509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בכסלו תשכ''א (3 בדצמבר 1960); הצעת החוק ודברי הסבר נתפרסמו בה"ח 438, תשכ''א/</w:t>
                  </w:r>
                </w:p>
                <w:p w:rsidR="00D13509" w:rsidRDefault="00D13509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32.</w:t>
                  </w:r>
                </w:p>
                <w:p w:rsidR="00D13509" w:rsidRDefault="00D13509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</w:t>
                  </w:r>
                </w:p>
                <w:p w:rsidR="00D13509" w:rsidRPr="00D13509" w:rsidRDefault="00D13509">
                  <w:pPr>
                    <w:pStyle w:val="OCRStyle1"/>
                    <w:ind w:left="42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4" o:spid="_x0000_s1027" type="#_x0000_t202" style="position:absolute;left:0;text-align:left;margin-left:102.85pt;margin-top:364.95pt;width:84.75pt;height:30.9pt;z-index:5;mso-position-horizontal-relative:page;mso-position-vertical-relative:page" stroked="f">
            <v:textbox style="mso-next-textbox:#_x0000_s3174" inset="0,0,0,0">
              <w:txbxContent>
                <w:p w:rsidR="00D13509" w:rsidRDefault="00D13509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13509" w:rsidRDefault="00D13509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5" o:spid="_x0000_s1028" type="#_x0000_t202" style="position:absolute;left:0;text-align:left;margin-left:214.35pt;margin-top:361.6pt;width:108.3pt;height:32.65pt;z-index:4;mso-position-horizontal-relative:page;mso-position-vertical-relative:page" stroked="f">
            <v:textbox style="mso-next-textbox:#_x0000_s3175" inset="0,0,0,0">
              <w:txbxContent>
                <w:p w:rsidR="00D13509" w:rsidRDefault="00D13509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13509" w:rsidRDefault="00D13509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6" o:spid="_x0000_s1029" type="#_x0000_t202" style="position:absolute;left:0;text-align:left;margin-left:364.65pt;margin-top:392.5pt;width:116.6pt;height:41.2pt;z-index:3;mso-position-horizontal-relative:page;mso-position-vertical-relative:page" stroked="f">
            <v:textbox style="mso-next-textbox:#_x0000_s3176" inset="0,0,0,0">
              <w:txbxContent>
                <w:p w:rsidR="00D13509" w:rsidRDefault="00D13509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יצחק ב ן-צבי</w:t>
                  </w:r>
                </w:p>
                <w:p w:rsidR="00D13509" w:rsidRDefault="00D13509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7" o:spid="_x0000_s1030" type="#_x0000_t202" style="position:absolute;left:0;text-align:left;margin-left:82.7pt;margin-top:114.1pt;width:463.9pt;height:240pt;z-index:2;mso-position-horizontal-relative:page;mso-position-vertical-relative:page" stroked="f">
            <v:textbox style="mso-next-textbox:#_x0000_s31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0"/>
                    <w:gridCol w:w="1444"/>
                  </w:tblGrid>
                  <w:tr w:rsidR="00D13509" w:rsidRPr="00D13509">
                    <w:trPr>
                      <w:jc w:val="right"/>
                    </w:trPr>
                    <w:tc>
                      <w:tcPr>
                        <w:tcW w:w="4144" w:type="pct"/>
                      </w:tcPr>
                      <w:p w:rsidR="00D13509" w:rsidRDefault="00D1350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D13509" w:rsidRPr="00D13509" w:rsidRDefault="00D13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"אמנת האיגוד" - פרקי ההסכם בדבר כינון האיגוד הבין-לאומי לפיתוח (להלן - האיגוד).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D13509" w:rsidRPr="00D13509" w:rsidRDefault="00D135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13509" w:rsidRPr="00D13509">
                    <w:trPr>
                      <w:jc w:val="right"/>
                    </w:trPr>
                    <w:tc>
                      <w:tcPr>
                        <w:tcW w:w="4144" w:type="pct"/>
                      </w:tcPr>
                      <w:p w:rsidR="00D13509" w:rsidRDefault="00D135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.משעה שאמנת האיגוד תהיה חתומה בשם המדינה יהיה שר האוצר רשאי -</w:t>
                        </w:r>
                      </w:p>
                      <w:p w:rsidR="00D13509" w:rsidRDefault="00D13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לשלם בשם המדינה לאיגוד את הסכומים שיש לשלמם על פי אמנת</w:t>
                        </w:r>
                      </w:p>
                      <w:p w:rsidR="00D13509" w:rsidRDefault="00D13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האיגוד;</w:t>
                        </w:r>
                      </w:p>
                      <w:p w:rsidR="00D13509" w:rsidRDefault="00D13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להוציא בשם המדינה' בהתאם לפרק בי, סעיף 2 (ה) של אמנת האיגוד,</w:t>
                        </w:r>
                      </w:p>
                      <w:p w:rsidR="00D13509" w:rsidRDefault="00D13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שטרי חוב שאינם סחירים, אינם נושאים ריבית ומשתלמים עם הדרישה בערכם</w:t>
                        </w:r>
                      </w:p>
                      <w:p w:rsidR="00D13509" w:rsidRPr="00D13509" w:rsidRDefault="00D13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D13509" w:rsidRPr="00D13509" w:rsidRDefault="00D135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 לאיגוד</w:t>
                        </w:r>
                      </w:p>
                    </w:tc>
                  </w:tr>
                  <w:tr w:rsidR="00D13509" w:rsidRPr="00D13509">
                    <w:trPr>
                      <w:jc w:val="right"/>
                    </w:trPr>
                    <w:tc>
                      <w:tcPr>
                        <w:tcW w:w="4144" w:type="pct"/>
                      </w:tcPr>
                      <w:p w:rsidR="00D13509" w:rsidRPr="00D13509" w:rsidRDefault="00D13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בנק ישראל ייצג את המדינה בכל ענין הנוגע לחברות המדינה באיגוד.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D13509" w:rsidRPr="00D13509" w:rsidRDefault="00D135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</w:t>
                        </w:r>
                      </w:p>
                    </w:tc>
                  </w:tr>
                  <w:tr w:rsidR="00D13509" w:rsidRPr="00D13509">
                    <w:trPr>
                      <w:jc w:val="right"/>
                    </w:trPr>
                    <w:tc>
                      <w:tcPr>
                        <w:tcW w:w="4144" w:type="pct"/>
                      </w:tcPr>
                      <w:p w:rsidR="00D13509" w:rsidRDefault="00D135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ממונה על ביצוע חוק זה' והוא רשאי להתקין תקנות בכל ענין הנוגע</w:t>
                        </w:r>
                      </w:p>
                      <w:p w:rsidR="00D13509" w:rsidRDefault="00D13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לביצוען של הוראות אמנת האיגוד ולמילוי התחייבויותיה של המדינה על פיהן; ובמיוחד</w:t>
                        </w:r>
                      </w:p>
                      <w:p w:rsidR="00D13509" w:rsidRDefault="00D13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מעמדם, חסינויותיהם וזכויות היתר של האיגוד ושל נגידיו' מנהליו' חליפיו' פקידיו,</w:t>
                        </w:r>
                      </w:p>
                      <w:p w:rsidR="00D13509" w:rsidRPr="00D13509" w:rsidRDefault="00D13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ועובדיו.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D13509" w:rsidRPr="00D13509" w:rsidRDefault="00D135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D13509" w:rsidRDefault="00D135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78" o:spid="_x0000_s1031" type="#_x0000_t202" style="position:absolute;left:0;text-align:left;margin-left:99.5pt;margin-top:92.35pt;width:349.85pt;height:20.8pt;z-index:1;mso-position-horizontal-relative:page;mso-position-vertical-relative:page" stroked="f">
            <v:textbox style="mso-next-textbox:#_x0000_s3178" inset="0,0,0,0">
              <w:txbxContent>
                <w:p w:rsidR="00D13509" w:rsidRPr="00D13509" w:rsidRDefault="00D13509">
                  <w:pPr>
                    <w:pStyle w:val="OCRStyle1"/>
                    <w:ind w:left="5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אמנת האיגוד הבין-לאומי לפיתוח, תשכ"א-1960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350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2A2051-8B79-4AB8-A9BA-66155545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350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2008-04-06T19:35:00Z</dcterms:created>
  <dcterms:modified xsi:type="dcterms:W3CDTF">2008-04-06T19:35:00Z</dcterms:modified>
</cp:coreProperties>
</file>