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10D9" w:rsidRDefault="004E10D9">
      <w:pPr>
        <w:rPr>
          <w:rtl/>
        </w:rPr>
      </w:pPr>
    </w:p>
    <w:p w:rsidR="004E10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9" inset="0,0,0,0">
              <w:txbxContent>
                <w:p w:rsidR="00A0544B" w:rsidRDefault="00A0544B">
                  <w:r>
                    <w:rPr>
                      <w:rtl/>
                    </w:rPr>
                    <w:t>152                                          ספר החוקים 256                  כ"ב בתמוז התשי"ח 10.07.1958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" o:spid="_x0000_s1026" type="#_x0000_t202" style="position:absolute;left:0;text-align:left;margin-left:67.55pt;margin-top:725.25pt;width:403.5pt;height:92.05pt;z-index:3;mso-position-horizontal-relative:page;mso-position-vertical-relative:page" stroked="f">
            <v:textbox style="mso-next-textbox:#_x0000_s3180" inset="0,0,0,0">
              <w:txbxContent>
                <w:p w:rsidR="00A0544B" w:rsidRDefault="00A0544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בתמוז תשי"ח (1 ביולי 1938); הצעת החוק ודברי הסבר נתפרסמו בה"ח 318, תשי"ז,</w:t>
                  </w:r>
                </w:p>
                <w:p w:rsidR="00A0544B" w:rsidRDefault="00A0544B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עמ'339.</w:t>
                  </w:r>
                </w:p>
                <w:p w:rsidR="00A0544B" w:rsidRDefault="00A0544B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תוס' 1 מס' 1380, עמי 110; ע''ר 1947, תוס' 1 מס' 1604, עמ' 198 ;  ע''ר תש''ט, תוס' א' מס' 44, עמ'</w:t>
                  </w:r>
                </w:p>
                <w:p w:rsidR="00A0544B" w:rsidRPr="004E10D9" w:rsidRDefault="00A0544B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112; ס"ח 29, תש"י, עמ' 27; ס"ח 159, תשי"ד,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" o:spid="_x0000_s1027" type="#_x0000_t202" style="position:absolute;left:0;text-align:left;margin-left:61.8pt;margin-top:110.65pt;width:511.45pt;height:611.8pt;z-index:2;mso-position-horizontal-relative:page;mso-position-vertical-relative:page" stroked="f">
            <v:textbox style="mso-next-textbox:#_x0000_s3181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2"/>
                    <w:gridCol w:w="1510"/>
                    <w:gridCol w:w="1639"/>
                  </w:tblGrid>
                  <w:tr w:rsidR="00A0544B" w:rsidRPr="004E10D9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A0544B" w:rsidRDefault="00A0544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36 לפקודת האפוטרופוס הכללי. 1944 1 (להלן - הפקודה). יבואו סעיפים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</w:tc>
                    <w:tc>
                      <w:tcPr>
                        <w:tcW w:w="881" w:type="pct"/>
                        <w:vMerge w:val="restart"/>
                      </w:tcPr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מעיפים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36א, 36ב, 36ג, 36ד,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36ה ו-36ו</w:t>
                        </w:r>
                      </w:p>
                    </w:tc>
                  </w:tr>
                  <w:tr w:rsidR="00A0544B">
                    <w:trPr>
                      <w:jc w:val="right"/>
                    </w:trPr>
                    <w:tc>
                      <w:tcPr>
                        <w:tcW w:w="3307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כספים בידי האפוטרופוס הכללי מתוך עזבונות ומתוך רכוש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 אחרים המתנהלים על ידיו רשאי הוא להשקיעם במשותף, משמו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הוא' מבלי ליחסם לעזבונות' לרכוש או לנכסים מיוחדים.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יושקעו כספים כאמור' אם דרך השקעתם נקבעה על ידי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או בצוואתו של נפטר' או אם הורה בית המשפט או ציווה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שאין להשקיעם.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''השקעה משותפת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כספי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עזבונות ורכוש</w:t>
                        </w:r>
                      </w:p>
                    </w:tc>
                    <w:tc>
                      <w:tcPr>
                        <w:tcW w:w="881" w:type="pct"/>
                        <w:vMerge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0544B">
                    <w:trPr>
                      <w:jc w:val="right"/>
                    </w:trPr>
                    <w:tc>
                      <w:tcPr>
                        <w:tcW w:w="3307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(א) תוקם ועדת השקעות (להלן - הועדה) וזה הרכבה;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בא כוח שר המשפטים - יושב ראש;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 כוח שר האוצר;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 כוח נגיד בנק ישראל.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תקבע את סדרי דיוניה ועבודתה' במידה שלא נקבעו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השקעות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0544B">
                    <w:trPr>
                      <w:jc w:val="right"/>
                    </w:trPr>
                    <w:tc>
                      <w:tcPr>
                        <w:tcW w:w="3307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36ג. (א) ההשקעה המשותפת תהיה בניירות ערך, במשכנתאות או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בהלוואות אחרות - לרבות הלוואות לעזבון ולרכוש המתנהל על ידי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- שהועדה קבעה שהם כשרים להשקעה.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רשאית הועדה להורות שבשנת כספים פלונית לא יושקע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ערך, במשכנתאות ובהלוואות פלונים, או מסוג פלוני' יותר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מאחוז פלוני מכלל הכספים המושקעים; כן רשאית הועדה לקבוע לשנת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פלונית מינימום של סכום ושל זמן המזכה לריווח מהשקעה.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במה יושקעו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כספי השקעה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משותפת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0544B">
                    <w:trPr>
                      <w:jc w:val="right"/>
                    </w:trPr>
                    <w:tc>
                      <w:tcPr>
                        <w:tcW w:w="3307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36ד. לא יושקעו כספי ההשקעה המשותפת בניירות ערך, במשכנתאות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ובהלוואות אחרות שאינן סחירות' כשזמן פרעונן עולה על שלוש שנים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ההשקעה.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השקעה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בהלוואית שאינן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סחירות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0544B">
                    <w:trPr>
                      <w:jc w:val="right"/>
                    </w:trPr>
                    <w:tc>
                      <w:tcPr>
                        <w:tcW w:w="3307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36ה. (א) רווחיה של ההשקעה המשותפת' אחרי ניכוי הוצאותיה' וכן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הפסדיה' ייזקפו לזכותו או לחובתו של כל עזבון ורכוש כשיעור שיתופו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בהשקעה המשותפת כסכום ובזמן.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ייהנו מרווחים ולא ישאו בהפסדים עזבונות ורכוש ששי-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תופם בהשקעה המשותפת לא הגיע לסכום או לזמן שקבעה הועדה לשנת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פלונית.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"רווחים" - לרבות רווחי הון;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"הפסדים" - לרבות הפסדי הון.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רווחי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ההשקעה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המשותפת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והפסדיה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0544B">
                    <w:trPr>
                      <w:jc w:val="right"/>
                    </w:trPr>
                    <w:tc>
                      <w:tcPr>
                        <w:tcW w:w="3307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36ו. האפוטרופוס הכללי ימציא לועדת הכספים של הכנסת, לא יאוחר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מששה חדשים לאחר תום שנת הכספים, דין וחשבון כספי על פעולות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המשותפת בשנת הכספים שחלפה."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 לועדת</w:t>
                        </w:r>
                      </w:p>
                      <w:p w:rsidR="00A0544B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הכספים של</w:t>
                        </w:r>
                      </w:p>
                      <w:p w:rsidR="00A0544B" w:rsidRPr="004E10D9" w:rsidRDefault="00A05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0544B" w:rsidRDefault="00A054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0544B" w:rsidRDefault="00A054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2" o:spid="_x0000_s1028" type="#_x0000_t202" style="position:absolute;left:0;text-align:left;margin-left:107.95pt;margin-top:76.8pt;width:335.8pt;height:29.1pt;z-index:1;mso-position-horizontal-relative:page;mso-position-vertical-relative:page" stroked="f">
            <v:textbox style="mso-next-textbox:#_x0000_s3182" inset="0,0,0,0">
              <w:txbxContent>
                <w:p w:rsidR="00A0544B" w:rsidRPr="004E10D9" w:rsidRDefault="00A0544B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האפוטרופוס הכללי, תשי"ח-1958 *</w:t>
                  </w:r>
                </w:p>
              </w:txbxContent>
            </v:textbox>
            <w10:wrap anchorx="page" anchory="page"/>
          </v:shape>
        </w:pict>
      </w:r>
    </w:p>
    <w:p w:rsidR="00111B02" w:rsidRDefault="00111B02">
      <w:pPr>
        <w:rPr>
          <w:rtl/>
        </w:rPr>
      </w:pPr>
      <w:r>
        <w:rPr>
          <w:rtl/>
        </w:rPr>
        <w:br w:type="page"/>
      </w:r>
    </w:p>
    <w:p w:rsidR="00111B02" w:rsidRDefault="00000000">
      <w:pPr>
        <w:rPr>
          <w:rtl/>
        </w:rPr>
      </w:pPr>
      <w:r>
        <w:pict>
          <v:shape id="_x0000_s318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83" inset="0,0,0,0">
              <w:txbxContent>
                <w:p w:rsidR="00A0544B" w:rsidRDefault="00A0544B">
                  <w:r>
                    <w:rPr>
                      <w:rtl/>
                    </w:rPr>
                    <w:t>153                                          ספר החוקים 256                  כ"ב בתמוז התשי"ח 10.07.1958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4" o:spid="_x0000_s1030" type="#_x0000_t202" style="position:absolute;left:0;text-align:left;margin-left:374.55pt;margin-top:785.5pt;width:200.75pt;height:30.9pt;z-index:9;mso-position-horizontal-relative:page;mso-position-vertical-relative:page" stroked="f">
            <v:textbox style="mso-next-textbox:#_x0000_s3184" inset="0,0,0,0">
              <w:txbxContent>
                <w:p w:rsidR="00A0544B" w:rsidRDefault="00A054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85" o:spid="_x0000_s1031" type="#_x0000_t202" style="position:absolute;left:0;text-align:left;margin-left:192.4pt;margin-top:214.9pt;width:87.3pt;height:36.65pt;z-index:8;mso-position-horizontal-relative:page;mso-position-vertical-relative:page" stroked="f">
            <v:textbox style="mso-next-textbox:#_x0000_s3185" inset="0,0,0,0">
              <w:txbxContent>
                <w:p w:rsidR="00A0544B" w:rsidRDefault="00A0544B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0544B" w:rsidRDefault="00A0544B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" o:spid="_x0000_s1032" type="#_x0000_t202" style="position:absolute;left:0;text-align:left;margin-left:302.3pt;margin-top:209.35pt;width:120pt;height:46.95pt;z-index:7;mso-position-horizontal-relative:page;mso-position-vertical-relative:page" stroked="f">
            <v:textbox style="mso-next-textbox:#_x0000_s3186" inset="0,0,0,0">
              <w:txbxContent>
                <w:p w:rsidR="00A0544B" w:rsidRDefault="00A0544B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0544B" w:rsidRDefault="00A0544B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" o:spid="_x0000_s1033" type="#_x0000_t202" style="position:absolute;left:0;text-align:left;margin-left:443.05pt;margin-top:245.95pt;width:104.95pt;height:37.4pt;z-index:6;mso-position-horizontal-relative:page;mso-position-vertical-relative:page" stroked="f">
            <v:textbox style="mso-next-textbox:#_x0000_s3187" inset="0,0,0,0">
              <w:txbxContent>
                <w:p w:rsidR="00A0544B" w:rsidRDefault="00A0544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0544B" w:rsidRDefault="00A0544B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8" o:spid="_x0000_s1034" type="#_x0000_t202" style="position:absolute;left:0;text-align:left;margin-left:94pt;margin-top:76.1pt;width:480.35pt;height:122.95pt;z-index:5;mso-position-horizontal-relative:page;mso-position-vertical-relative:page" stroked="f">
            <v:textbox style="mso-next-textbox:#_x0000_s318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459"/>
                  </w:tblGrid>
                  <w:tr w:rsidR="00A0544B" w:rsidRPr="00111B02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A0544B" w:rsidRPr="00111B02" w:rsidRDefault="00A054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A0544B" w:rsidRDefault="00A054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40(2) לפקודה -</w:t>
                        </w:r>
                      </w:p>
                      <w:p w:rsidR="00A0544B" w:rsidRDefault="00A054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(ג), אחרי המלים "את אופן שמירת הכספים שהגיעו לידי האפוט-</w:t>
                        </w:r>
                      </w:p>
                      <w:p w:rsidR="00A0544B" w:rsidRDefault="00A054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הכללי" יבוא "והשקעתם";</w:t>
                        </w:r>
                      </w:p>
                      <w:p w:rsidR="00A0544B" w:rsidRDefault="00A054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(ד) תיווסף פסקה זו:</w:t>
                        </w:r>
                      </w:p>
                      <w:p w:rsidR="00A0544B" w:rsidRDefault="00A054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את דרכי חלוקת רווחי ההשקעה המשותפת או הפסדיה בין העזבו-</w:t>
                        </w:r>
                      </w:p>
                      <w:p w:rsidR="00A0544B" w:rsidRPr="00111B02" w:rsidRDefault="00A054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נות, הרכוש והנכסים המשתתפים בהשקעה המשותפת."</w:t>
                        </w:r>
                      </w:p>
                    </w:tc>
                  </w:tr>
                </w:tbl>
                <w:p w:rsidR="00A0544B" w:rsidRDefault="00A054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544B" w:rsidRDefault="00A0544B">
      <w:pPr>
        <w:rPr>
          <w:rtl/>
        </w:rPr>
      </w:pPr>
      <w:r>
        <w:rPr>
          <w:rtl/>
        </w:rPr>
        <w:br w:type="page"/>
      </w:r>
    </w:p>
    <w:p w:rsidR="00A0544B" w:rsidRDefault="00000000">
      <w:pPr>
        <w:rPr>
          <w:rtl/>
        </w:rPr>
      </w:pPr>
      <w:r>
        <w:pict>
          <v:shape id="_x0000_s318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89" inset="0,0,0,0">
              <w:txbxContent>
                <w:p w:rsidR="00A0544B" w:rsidRDefault="00A0544B">
                  <w:r>
                    <w:rPr>
                      <w:rtl/>
                    </w:rPr>
                    <w:t>154                                          ספר החוקים 256                  כ"ב בתמוז התשי"ח 10.07.1958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" o:spid="_x0000_s1036" type="#_x0000_t202" style="position:absolute;left:0;text-align:left;margin-left:71.4pt;margin-top:783.4pt;width:138pt;height:31.1pt;z-index:11;mso-position-horizontal-relative:page;mso-position-vertical-relative:page" stroked="f">
            <v:textbox style="mso-next-textbox:#_x0000_s3190" inset="0,0,0,0">
              <w:txbxContent>
                <w:p w:rsidR="00A0544B" w:rsidRDefault="00A0544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E10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0979EF-799D-48BE-A1B6-B9E2581C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10D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11B0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054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2008-04-06T19:20:00Z</dcterms:created>
  <dcterms:modified xsi:type="dcterms:W3CDTF">2008-04-06T19:20:00Z</dcterms:modified>
</cp:coreProperties>
</file>