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4197" w:rsidRDefault="00844197">
      <w:pPr>
        <w:rPr>
          <w:rtl/>
        </w:rPr>
      </w:pPr>
    </w:p>
    <w:p w:rsidR="0084419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9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199" inset="0,0,0,0">
              <w:txbxContent>
                <w:p w:rsidR="00CF6E90" w:rsidRDefault="00CF6E90">
                  <w:r>
                    <w:rPr>
                      <w:rtl/>
                    </w:rPr>
                    <w:t>148                                          ספר החוקים 159                     ו' באב התשי"ד 05.08.1954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0" o:spid="_x0000_s1026" type="#_x0000_t202" style="position:absolute;left:0;text-align:left;margin-left:72.8pt;margin-top:713.2pt;width:405.3pt;height:103.95pt;z-index:4;mso-position-horizontal-relative:page;mso-position-vertical-relative:page" stroked="f">
            <v:textbox style="mso-next-textbox:#_x0000_s3200" inset="0,0,0,0">
              <w:txbxContent>
                <w:p w:rsidR="00CF6E90" w:rsidRDefault="00CF6E90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בתמוז תשי"ד (27 ביולי 1954) ; הצעת החוק ודברי הסבר נתפרסמו</w:t>
                  </w:r>
                </w:p>
                <w:p w:rsidR="00CF6E90" w:rsidRDefault="00CF6E90">
                  <w:pPr>
                    <w:pStyle w:val="OCRStyle1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190, תשי"ד, עמ' 66.</w:t>
                  </w:r>
                </w:p>
                <w:p w:rsidR="00CF6E90" w:rsidRDefault="00CF6E90">
                  <w:pPr>
                    <w:pStyle w:val="OCRStyle1"/>
                    <w:ind w:left="2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1944, תוס' 1 מס' 1380, עמ' 110; ע"ר 1917, תוס' 1 מס' 1001, עמ' 198; ע"ר תש"ט, תוס' א'</w:t>
                  </w:r>
                </w:p>
                <w:p w:rsidR="00CF6E90" w:rsidRPr="00844197" w:rsidRDefault="00CF6E90">
                  <w:pPr>
                    <w:pStyle w:val="OCRStyle1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44, עמ' 112 ; ס"ח 29, תש"י, עמ' .27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1" o:spid="_x0000_s1027" type="#_x0000_t202" style="position:absolute;left:0;text-align:left;margin-left:77.55pt;margin-top:114.65pt;width:503.7pt;height:585.7pt;z-index:3;mso-position-horizontal-relative:page;mso-position-vertical-relative:page" stroked="f">
            <v:textbox style="mso-next-textbox:#_x0000_s3201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28"/>
                    <w:gridCol w:w="1588"/>
                    <w:gridCol w:w="1443"/>
                  </w:tblGrid>
                  <w:tr w:rsidR="00CF6E90" w:rsidRPr="00844197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CF6E90" w:rsidRPr="00844197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 . אחרי סעיף 34א לפקודת האפוטרופוס הכללי' 11944, יבואו סעיפים אלה'.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CF6E90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CF6E90" w:rsidRPr="00844197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31ב עד 31ו</w:t>
                        </w:r>
                      </w:p>
                    </w:tc>
                  </w:tr>
                  <w:tr w:rsidR="00CF6E90">
                    <w:trPr>
                      <w:jc w:val="right"/>
                    </w:trPr>
                    <w:tc>
                      <w:tcPr>
                        <w:tcW w:w="3345" w:type="pct"/>
                      </w:tcPr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34ב. (א) היה האפוטרופוס הכללי סבור שיש לאדם ידיעות או שמצויים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 מסמכים הנוגעים לעזבון או לרכוש שפקודה זו חלה עליהם, או שיש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כדי לגלות עזבון או רכוש כאמור, ושלא קיבלם ממנו על אף דרישתו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34א, רשאי בית המשפט המחוזי שמקום מגוריו של האדם הוא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שיפוטו, לפי בקשת האפוטרופוס הכללי, להזמין את האדם להת-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ייצב לפניו ולצוות שייחקר על ידי האפוטרופוס הכללי או בפומבי בבית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אף אם כבר התייצב לפני האפוטרופוס הכללי ונחקר על ידיו.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ציווה בית המשפט שאדם ייחקר על ידי האפוטרופוס הכללי,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האפוטרופוס הכללי להשביעו ולחקרו בשבועה.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"חקירה" - לרבות הראיית מסמכים והגשתם,</w:t>
                        </w:r>
                      </w:p>
                    </w:tc>
                    <w:tc>
                      <w:tcPr>
                        <w:tcW w:w="867" w:type="pct"/>
                      </w:tcPr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"הזמנה</w:t>
                        </w:r>
                      </w:p>
                      <w:p w:rsidR="00CF6E90" w:rsidRPr="00844197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לחקירה</w:t>
                        </w:r>
                      </w:p>
                    </w:tc>
                    <w:tc>
                      <w:tcPr>
                        <w:tcW w:w="788" w:type="pct"/>
                      </w:tcPr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F6E90">
                    <w:trPr>
                      <w:jc w:val="right"/>
                    </w:trPr>
                    <w:tc>
                      <w:tcPr>
                        <w:tcW w:w="3345" w:type="pct"/>
                      </w:tcPr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34ג. הודה אדם בחקירתו לפי סעיף 34ב, כי הוא מחזיק בעזבון או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ברכוש שפקודה זו חלה עליהם, רשאי בית המשפט המחוזי לחייבו במסירת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 או הרכוש לאפוטרופוס הכללי, במועד ובתנאים שייראו לבית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CF6E90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די! המודה</w:t>
                        </w:r>
                      </w:p>
                      <w:p w:rsidR="00CF6E90" w:rsidRPr="00844197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בהחזקת רכוש</w:t>
                        </w:r>
                      </w:p>
                    </w:tc>
                    <w:tc>
                      <w:tcPr>
                        <w:tcW w:w="788" w:type="pct"/>
                      </w:tcPr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F6E90">
                    <w:trPr>
                      <w:jc w:val="right"/>
                    </w:trPr>
                    <w:tc>
                      <w:tcPr>
                        <w:tcW w:w="3345" w:type="pct"/>
                      </w:tcPr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34ד. פרוטוקול של חקירה שנערכה על ידי האפוטרופוס הכללי על פי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בית משפט מחוזי כאמור בסעיף 34ב, ישמש ראיה בבתי המשפט כאילו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פרוטוקול של עדות שנגבתה על ידי בית משפט.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CF6E90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פרוטוקול חקירה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שנערכה על ירי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האפוטרופוס</w:t>
                        </w:r>
                      </w:p>
                      <w:p w:rsidR="00CF6E90" w:rsidRPr="00844197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הכללי</w:t>
                        </w:r>
                      </w:p>
                    </w:tc>
                    <w:tc>
                      <w:tcPr>
                        <w:tcW w:w="788" w:type="pct"/>
                      </w:tcPr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F6E90">
                    <w:trPr>
                      <w:jc w:val="right"/>
                    </w:trPr>
                    <w:tc>
                      <w:tcPr>
                        <w:tcW w:w="3345" w:type="pct"/>
                      </w:tcPr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34ה. אדם שהוזמן לחקירה בבית המשפט המחוזי כאמור בסעיף 34ב,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לענין החקירה כדין עד ודינו לענין הוצאות כדין בעל דין בבית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CF6E90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דינו סל טי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שחקר בנית</w:t>
                        </w:r>
                      </w:p>
                      <w:p w:rsidR="00CF6E90" w:rsidRPr="00844197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788" w:type="pct"/>
                      </w:tcPr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F6E90">
                    <w:trPr>
                      <w:jc w:val="right"/>
                    </w:trPr>
                    <w:tc>
                      <w:tcPr>
                        <w:tcW w:w="3345" w:type="pct"/>
                      </w:tcPr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34ו. נחקר אדם על ידי האפוטרופוס הכללי על פי צו בית משפט מחוזי,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34ב, רשאי האדם לקבל ממנו דמי נסיעה ולינה ושכר בטלה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בשיעורים שנקבעו לעדים בבית המשפט."</w:t>
                        </w:r>
                      </w:p>
                    </w:tc>
                    <w:tc>
                      <w:tcPr>
                        <w:tcW w:w="867" w:type="pct"/>
                      </w:tcPr>
                      <w:p w:rsidR="00CF6E90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שכרו סל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המתייצב לפני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האפוטרופוס</w:t>
                        </w:r>
                      </w:p>
                      <w:p w:rsidR="00CF6E90" w:rsidRPr="00844197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הכללי</w:t>
                        </w:r>
                      </w:p>
                    </w:tc>
                    <w:tc>
                      <w:tcPr>
                        <w:tcW w:w="788" w:type="pct"/>
                      </w:tcPr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F6E90" w:rsidRPr="00844197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CF6E90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בסעיף 35 לפקודה, סעיף קטן (1), פסקה (ב), במקום הפרט (11) יבוא פרט זה: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"(11) מת ולא הניח יורשים חוקיים בישראל, או לא נמצאו יורשים חוקיים</w:t>
                        </w:r>
                      </w:p>
                      <w:p w:rsidR="00CF6E90" w:rsidRPr="00844197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לאחר פרסום הודעה לפי סעיף 12."</w:t>
                        </w:r>
                      </w:p>
                    </w:tc>
                    <w:tc>
                      <w:tcPr>
                        <w:tcW w:w="788" w:type="pct"/>
                      </w:tcPr>
                      <w:p w:rsidR="00CF6E90" w:rsidRPr="00844197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CF6E90" w:rsidRPr="00844197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CF6E90" w:rsidRPr="00844197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:3. אחרי סעיף 35א לפקודה יבוא סעיף זה </w:t>
                        </w:r>
                      </w:p>
                    </w:tc>
                    <w:tc>
                      <w:tcPr>
                        <w:tcW w:w="788" w:type="pct"/>
                      </w:tcPr>
                      <w:p w:rsidR="00CF6E90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CF6E90" w:rsidRPr="00844197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35ב</w:t>
                        </w:r>
                      </w:p>
                    </w:tc>
                  </w:tr>
                  <w:tr w:rsidR="00CF6E90">
                    <w:trPr>
                      <w:jc w:val="right"/>
                    </w:trPr>
                    <w:tc>
                      <w:tcPr>
                        <w:tcW w:w="3345" w:type="pct"/>
                      </w:tcPr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35ב. היה בית משפט מוסמך למנות אפוטרופוס או מנהל נכסים לקטין,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לחולה רוח, לפגרן או לבזבזן, רשאי הוא למנות לכך את האפוטרופוס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הכללי, בהסכמתו,"</w:t>
                        </w:r>
                      </w:p>
                    </w:tc>
                    <w:tc>
                      <w:tcPr>
                        <w:tcW w:w="867" w:type="pct"/>
                      </w:tcPr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,,מינוי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האפוטרופוס</w:t>
                        </w:r>
                      </w:p>
                      <w:p w:rsidR="00CF6E90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הכללי למנהל</w:t>
                        </w:r>
                      </w:p>
                      <w:p w:rsidR="00CF6E90" w:rsidRPr="00844197" w:rsidRDefault="00CF6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 פסוליט</w:t>
                        </w:r>
                      </w:p>
                    </w:tc>
                    <w:tc>
                      <w:tcPr>
                        <w:tcW w:w="788" w:type="pct"/>
                      </w:tcPr>
                      <w:p w:rsidR="00CF6E90" w:rsidRDefault="00CF6E9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F6E90" w:rsidRDefault="00CF6E9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02" o:spid="_x0000_s1028" type="#_x0000_t202" style="position:absolute;left:0;text-align:left;margin-left:134.55pt;margin-top:84.15pt;width:317.8pt;height:20.2pt;z-index:2;mso-position-horizontal-relative:page;mso-position-vertical-relative:page" stroked="f">
            <v:textbox style="mso-next-textbox:#_x0000_s3202" inset="0,0,0,0">
              <w:txbxContent>
                <w:p w:rsidR="00CF6E90" w:rsidRPr="00844197" w:rsidRDefault="00CF6E90">
                  <w:pPr>
                    <w:pStyle w:val="OCRStyle1"/>
                    <w:ind w:left="10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האפוטרופוס הכללי, תשי"ד-1954*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3" o:spid="_x0000_s1029" type="#_x0000_t202" style="position:absolute;left:0;text-align:left;margin-left:516.7pt;margin-top:67.55pt;width:59pt;height:18.4pt;z-index:1;mso-position-horizontal-relative:page;mso-position-vertical-relative:page" stroked="f">
            <v:textbox style="mso-next-textbox:#_x0000_s3203" inset="0,0,0,0">
              <w:txbxContent>
                <w:p w:rsidR="00CF6E90" w:rsidRDefault="00CF6E90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מספר 49</w:t>
                  </w:r>
                </w:p>
              </w:txbxContent>
            </v:textbox>
            <w10:wrap anchorx="page" anchory="page"/>
          </v:shape>
        </w:pict>
      </w:r>
    </w:p>
    <w:p w:rsidR="00CF6E90" w:rsidRDefault="00CF6E90">
      <w:pPr>
        <w:rPr>
          <w:rtl/>
        </w:rPr>
      </w:pPr>
      <w:r>
        <w:rPr>
          <w:rtl/>
        </w:rPr>
        <w:br w:type="page"/>
      </w:r>
    </w:p>
    <w:p w:rsidR="00CF6E90" w:rsidRDefault="00000000">
      <w:pPr>
        <w:rPr>
          <w:rtl/>
        </w:rPr>
      </w:pPr>
      <w:r>
        <w:pict>
          <v:shape id="_x0000_s3204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204" inset="0,0,0,0">
              <w:txbxContent>
                <w:p w:rsidR="00CF6E90" w:rsidRDefault="00CF6E90">
                  <w:r>
                    <w:rPr>
                      <w:rtl/>
                    </w:rPr>
                    <w:t>149                                          ספר החוקים 159                     ו' באב התשי"ד 05.08.1954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5" o:spid="_x0000_s1031" type="#_x0000_t202" style="position:absolute;left:0;text-align:left;margin-left:186.65pt;margin-top:202.3pt;width:83.35pt;height:47.5pt;z-index:9;mso-position-horizontal-relative:page;mso-position-vertical-relative:page" stroked="f">
            <v:textbox style="mso-next-textbox:#_x0000_s3205" inset="0,0,0,0">
              <w:txbxContent>
                <w:p w:rsidR="00CF6E90" w:rsidRDefault="00CF6E90">
                  <w:pPr>
                    <w:pStyle w:val="OCRStyle2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CF6E90" w:rsidRDefault="00CF6E90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6" o:spid="_x0000_s1032" type="#_x0000_t202" style="position:absolute;left:0;text-align:left;margin-left:305.05pt;margin-top:205.3pt;width:120.4pt;height:44.55pt;z-index:8;mso-position-horizontal-relative:page;mso-position-vertical-relative:page" stroked="f">
            <v:textbox style="mso-next-textbox:#_x0000_s3206" inset="0,0,0,0">
              <w:txbxContent>
                <w:p w:rsidR="00CF6E90" w:rsidRDefault="00CF6E90">
                  <w:pPr>
                    <w:pStyle w:val="OCRStyle2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CF6E90" w:rsidRDefault="00CF6E90">
                  <w:pPr>
                    <w:pStyle w:val="OCRStyle2"/>
                    <w:ind w:left="45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7" o:spid="_x0000_s1033" type="#_x0000_t202" style="position:absolute;left:0;text-align:left;margin-left:448.2pt;margin-top:243.1pt;width:111.65pt;height:49.3pt;z-index:7;mso-position-horizontal-relative:page;mso-position-vertical-relative:page" stroked="f">
            <v:textbox style="mso-next-textbox:#_x0000_s3207" inset="0,0,0,0">
              <w:txbxContent>
                <w:p w:rsidR="00CF6E90" w:rsidRDefault="00CF6E90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יצחק בן- צב י</w:t>
                  </w:r>
                </w:p>
                <w:p w:rsidR="00CF6E90" w:rsidRDefault="00CF6E90">
                  <w:pPr>
                    <w:pStyle w:val="OCRStyle2"/>
                    <w:ind w:left="4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8" o:spid="_x0000_s1034" type="#_x0000_t202" style="position:absolute;left:0;text-align:left;margin-left:95.8pt;margin-top:62.15pt;width:482.15pt;height:128.9pt;z-index:6;mso-position-horizontal-relative:page;mso-position-vertical-relative:page" stroked="f">
            <v:textbox style="mso-next-textbox:#_x0000_s320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4"/>
                    <w:gridCol w:w="7512"/>
                  </w:tblGrid>
                  <w:tr w:rsidR="00CF6E90" w:rsidRPr="00CF6E90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CF6E90" w:rsidRPr="00CF6E90" w:rsidRDefault="00CF6E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תוקף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CF6E90" w:rsidRDefault="00CF6E9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(א) מעשה בית משפט' בענין הסעיפים 2 ו-3 לחוק זה, שנעשה לפני תחילתו של</w:t>
                        </w:r>
                      </w:p>
                      <w:p w:rsidR="00CF6E90" w:rsidRDefault="00CF6E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ושהיה נעשה כדין אילו היה חוק זה בר תוקף אותה שעה, רואים אותו כאילו נעשה</w:t>
                        </w:r>
                      </w:p>
                      <w:p w:rsidR="00CF6E90" w:rsidRDefault="00CF6E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כדין.</w:t>
                        </w:r>
                      </w:p>
                      <w:p w:rsidR="00CF6E90" w:rsidRDefault="00CF6E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פעולה שנעשתה, בענין הסעיפים 2 ו-3 לחוק זה, על ידי האפוטרופוס הכללי י</w:t>
                        </w:r>
                      </w:p>
                      <w:p w:rsidR="00CF6E90" w:rsidRDefault="00CF6E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ושהיתה נעשית כדין אילו היה חוק זה בר תוקף אותה שעה, רואים אותה כאילו נעשתה</w:t>
                        </w:r>
                      </w:p>
                      <w:p w:rsidR="00CF6E90" w:rsidRPr="00CF6E90" w:rsidRDefault="00CF6E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כדין.</w:t>
                        </w:r>
                      </w:p>
                    </w:tc>
                  </w:tr>
                </w:tbl>
                <w:p w:rsidR="00CF6E90" w:rsidRDefault="00CF6E9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4419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1E2EF7E-2D50-4756-89F8-78691CCB2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4419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F6E9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2008-04-06T18:46:00Z</dcterms:created>
  <dcterms:modified xsi:type="dcterms:W3CDTF">2008-04-06T18:47:00Z</dcterms:modified>
</cp:coreProperties>
</file>