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3E08" w:rsidRDefault="000B3E08">
      <w:pPr>
        <w:rPr>
          <w:rtl/>
        </w:rPr>
      </w:pPr>
    </w:p>
    <w:p w:rsidR="000B3E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09" inset="0,0,0,0">
              <w:txbxContent>
                <w:p w:rsidR="00297783" w:rsidRDefault="00297783">
                  <w:r>
                    <w:rPr>
                      <w:rtl/>
                    </w:rPr>
                    <w:t>27                                           ספר החוקים 29                   כ"ט בכסליו התש"י 20.12.1949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0" o:spid="_x0000_s1026" type="#_x0000_t202" style="position:absolute;left:0;text-align:left;margin-left:169.7pt;margin-top:658.25pt;width:354.2pt;height:36.45pt;z-index:3;mso-position-horizontal-relative:page;mso-position-vertical-relative:page" stroked="f">
            <v:textbox style="mso-next-textbox:#_x0000_s3210" inset="0,0,0,0">
              <w:txbxContent>
                <w:p w:rsidR="00297783" w:rsidRDefault="0029778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- נתקבל בכנסת ביום כ"נ בכסלו תש"י (14 בדצמבר 1949). הצעת החוק ודברי הסבר נת-</w:t>
                  </w:r>
                </w:p>
                <w:p w:rsidR="00297783" w:rsidRDefault="00297783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פרסמו בהצעות חוק 20 מיום ח' באב תש"ט (3 באוגוסט 1949), עמ' 181.</w:t>
                  </w:r>
                </w:p>
                <w:p w:rsidR="00297783" w:rsidRPr="000B3E08" w:rsidRDefault="00297783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1380 מיום 28.12.44, תוס' 1,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1" o:spid="_x0000_s1027" type="#_x0000_t202" style="position:absolute;left:0;text-align:left;margin-left:101.4pt;margin-top:173.35pt;width:440.55pt;height:465.1pt;z-index:2;mso-position-horizontal-relative:page;mso-position-vertical-relative:page" stroked="f">
            <v:textbox style="mso-next-textbox:#_x0000_s321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6736"/>
                  </w:tblGrid>
                  <w:tr w:rsidR="00297783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297783" w:rsidRPr="000B3E08" w:rsidRDefault="002977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פקודה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האפוטרופוס הכללי' 1944 1, תתוקן כך:</w:t>
                        </w:r>
                      </w:p>
                    </w:tc>
                  </w:tr>
                  <w:tr w:rsidR="00297783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5" w:type="pct"/>
                      </w:tcPr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21 יבוא סעיף זה:</w:t>
                        </w:r>
                      </w:p>
                    </w:tc>
                  </w:tr>
                  <w:tr w:rsidR="00297783" w:rsidRPr="000B3E08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5" w:type="pct"/>
                      </w:tcPr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"אגרה והוצאות 21, (1) לאפוטרופוס הכללי ישולמו בקשר להנהלת עזבה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רכוש ולטיפול בהם -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האגרה הקבועה בתוספת' שתשולם לשיעו-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שנקבעו בתוספת או שייקבעו בתקנות.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המתקבלות על הדעת שהוצאו על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ידיו.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המשפט יכול להגדיל את האגרה בהתחשב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שירותים מיוחדים או להפחית את האגרה או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עזבון או רכוש מתשלומה.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התשלומים שהורשו לפי חוק זה ישולמו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לאפוטרופוס הכללי וייגבו על ידיו מתוך העזבון או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שבהנהלתה ויהיו שעבוד ראשון על הרכוש או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העזבון, אולם הוצאות הקבורה, הכתובה לאלמנתו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הנפטר עד - 250 לירות, הוצאות המצבה עד -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 לירות, וכן מזונות שנקבעו בפסק דין לחובת</w:t>
                        </w:r>
                      </w:p>
                      <w:p w:rsidR="00297783" w:rsidRPr="000B3E08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 או הנעדר יהיו קודמים לשעבוד האמור**</w:t>
                        </w:r>
                      </w:p>
                    </w:tc>
                  </w:tr>
                  <w:tr w:rsidR="00297783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5" w:type="pct"/>
                      </w:tcPr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פסקות (א) עד (ג) לסעיף משנה 40(2) יבואו פסקות אלה: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את החשבונות שעל האפוטרופוס הכללי לנהלם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הטפסים שיש להשתמש בהם :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תשלום האגרה לשיעוריה ולמועדיה ואת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לסוגיהן ולדרגותיהן;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אופן שמירת הכספים שהגיעו לידי האפוטרו-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פוס הכללי ואת דרכי ההערכה' לצורך קביעת האגרה,</w:t>
                        </w:r>
                      </w:p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נכסי עזבון או רכוש לסוגיהם".</w:t>
                        </w:r>
                      </w:p>
                    </w:tc>
                  </w:tr>
                  <w:tr w:rsidR="00297783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5" w:type="pct"/>
                      </w:tcPr>
                      <w:p w:rsidR="00297783" w:rsidRDefault="002977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התוספת לפקודה תוחלף בתוספת זו:</w:t>
                        </w:r>
                      </w:p>
                    </w:tc>
                  </w:tr>
                </w:tbl>
                <w:p w:rsidR="00297783" w:rsidRDefault="002977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2" o:spid="_x0000_s1028" type="#_x0000_t202" style="position:absolute;left:0;text-align:left;margin-left:210.5pt;margin-top:136.7pt;width:303.55pt;height:28.9pt;z-index:1;mso-position-horizontal-relative:page;mso-position-vertical-relative:page" stroked="f">
            <v:textbox style="mso-next-textbox:#_x0000_s3212" inset="0,0,0,0">
              <w:txbxContent>
                <w:p w:rsidR="00297783" w:rsidRPr="000B3E08" w:rsidRDefault="00297783">
                  <w:pPr>
                    <w:pStyle w:val="OCRStyle1"/>
                    <w:ind w:left="28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האפוטרופוס הכללי, תש*י-1949*</w:t>
                  </w:r>
                </w:p>
              </w:txbxContent>
            </v:textbox>
            <w10:wrap anchorx="page" anchory="page"/>
          </v:shape>
        </w:pict>
      </w:r>
    </w:p>
    <w:p w:rsidR="00297783" w:rsidRDefault="00297783">
      <w:pPr>
        <w:rPr>
          <w:rtl/>
        </w:rPr>
      </w:pPr>
      <w:r>
        <w:rPr>
          <w:rtl/>
        </w:rPr>
        <w:br w:type="page"/>
      </w:r>
    </w:p>
    <w:p w:rsidR="00297783" w:rsidRDefault="00000000">
      <w:pPr>
        <w:rPr>
          <w:rtl/>
        </w:rPr>
      </w:pPr>
      <w:r>
        <w:pict>
          <v:shape id="_x0000_s321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13" inset="0,0,0,0">
              <w:txbxContent>
                <w:p w:rsidR="00297783" w:rsidRDefault="00297783">
                  <w:r>
                    <w:rPr>
                      <w:rtl/>
                    </w:rPr>
                    <w:t>28                                           ספר החוקים 29                   כ"ט בכסליו התש"י 20.12.1949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4" o:spid="_x0000_s1030" type="#_x0000_t202" style="position:absolute;left:0;text-align:left;margin-left:103.15pt;margin-top:721.65pt;width:166.5pt;height:17.8pt;z-index:9;mso-position-horizontal-relative:page;mso-position-vertical-relative:page" stroked="f">
            <v:textbox style="mso-next-textbox:#_x0000_s3214" inset="0,0,0,0">
              <w:txbxContent>
                <w:p w:rsidR="00297783" w:rsidRPr="00297783" w:rsidRDefault="00297783">
                  <w:pPr>
                    <w:pStyle w:val="OCRStyle2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29, כ"ט בכסלו  תש"י, 20.12.49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5" o:spid="_x0000_s1031" type="#_x0000_t202" style="position:absolute;left:0;text-align:left;margin-left:98pt;margin-top:366.05pt;width:84.55pt;height:59.4pt;z-index:8;mso-position-horizontal-relative:page;mso-position-vertical-relative:page" stroked="f">
            <v:textbox style="mso-next-textbox:#_x0000_s3215" inset="0,0,0,0">
              <w:txbxContent>
                <w:p w:rsidR="00297783" w:rsidRDefault="00297783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297783" w:rsidRDefault="00297783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6" o:spid="_x0000_s1032" type="#_x0000_t202" style="position:absolute;left:0;text-align:left;margin-left:186.3pt;margin-top:366.05pt;width:109.7pt;height:60.6pt;z-index:7;mso-position-horizontal-relative:page;mso-position-vertical-relative:page" stroked="f">
            <v:textbox style="mso-next-textbox:#_x0000_s3216" inset="0,0,0,0">
              <w:txbxContent>
                <w:p w:rsidR="00297783" w:rsidRDefault="00297783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97783" w:rsidRDefault="00297783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7" o:spid="_x0000_s1033" type="#_x0000_t202" style="position:absolute;left:0;text-align:left;margin-left:365.5pt;margin-top:413.95pt;width:144.95pt;height:49.3pt;z-index:6;mso-position-horizontal-relative:page;mso-position-vertical-relative:page" stroked="f">
            <v:textbox style="mso-next-textbox:#_x0000_s3217" inset="0,0,0,0">
              <w:txbxContent>
                <w:p w:rsidR="00297783" w:rsidRDefault="00297783">
                  <w:pPr>
                    <w:pStyle w:val="OCRStyle2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297783" w:rsidRDefault="00297783">
                  <w:pPr>
                    <w:pStyle w:val="OCRStyle2"/>
                    <w:ind w:left="9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8" o:spid="_x0000_s1034" type="#_x0000_t202" style="position:absolute;left:0;text-align:left;margin-left:65.95pt;margin-top:76.15pt;width:413.8pt;height:284.9pt;z-index:5;mso-position-horizontal-relative:page;mso-position-vertical-relative:page" stroked="f">
            <v:textbox style="mso-next-textbox:#_x0000_s3218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4"/>
                  </w:tblGrid>
                  <w:tr w:rsidR="00297783" w:rsidRPr="002977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297783" w:rsidRP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דרגות האגרה</w:t>
                        </w:r>
                      </w:p>
                    </w:tc>
                  </w:tr>
                  <w:tr w:rsidR="002977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לאפוטרופוס הכללי תשולם לפי פסקה (א) לסעיף משנה 21(1) אגרה כמפורט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</w:tc>
                  </w:tr>
                  <w:tr w:rsidR="002977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בקשר לקבלת עזבון או רכוש להנהלתו - מהשווי ברוטו של העזבון או של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הרכוש: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500 לירות הראשונות פטורות מהאגרה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מ-500 לירות שלאחריהן או מחלק מהן - 5 לירות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מ-4000 לירות שלאחריהן או מחלק מהן - 1%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מ-5000 לירות שלאחריהן או מחלק מהן - 1/2%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מ-5000 לירות שלאחריהן או מחלק מהן - 1/4%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מהסכומים שלמעלה מ-15000 לירות -1/10%</w:t>
                        </w:r>
                      </w:p>
                    </w:tc>
                  </w:tr>
                  <w:tr w:rsidR="0029778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בקשר לחלוקת עזבון או רכוש או מסירתם לזכאים להם -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השיעורים שנקבעו בסעיף 1 מהשווי של העזבון או של הרכוש, או כל חלק</w:t>
                        </w:r>
                      </w:p>
                      <w:p w:rsidR="00297783" w:rsidRDefault="002977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המתחלקים או הנמסרים".</w:t>
                        </w:r>
                      </w:p>
                    </w:tc>
                  </w:tr>
                </w:tbl>
                <w:p w:rsidR="00297783" w:rsidRDefault="002977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B3E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F4C5A9-5CD4-4B1F-9BCA-F9285F24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3E0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9778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2008-04-06T17:33:00Z</dcterms:created>
  <dcterms:modified xsi:type="dcterms:W3CDTF">2008-04-06T17:33:00Z</dcterms:modified>
</cp:coreProperties>
</file>