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6397" w:rsidRDefault="00D96397">
      <w:pPr>
        <w:rPr>
          <w:rtl/>
        </w:rPr>
      </w:pPr>
    </w:p>
    <w:p w:rsidR="00D963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81" inset="0,0,0,0">
              <w:txbxContent>
                <w:p w:rsidR="005D4E4B" w:rsidRDefault="005D4E4B">
                  <w:r>
                    <w:rPr>
                      <w:rtl/>
                    </w:rPr>
                    <w:t>42                                           ספר החוקים 992                    ג' בטבת התשמ"א 10.12.1980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" o:spid="_x0000_s1026" type="#_x0000_t202" style="position:absolute;left:0;text-align:left;margin-left:88.95pt;margin-top:663.2pt;width:388.3pt;height:75.85pt;z-index:3;mso-position-horizontal-relative:page;mso-position-vertical-relative:page" stroked="f">
            <v:textbox style="mso-next-textbox:#_x0000_s3382" inset="0,0,0,0">
              <w:txbxContent>
                <w:p w:rsidR="005D4E4B" w:rsidRDefault="005D4E4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התשמ"א (1 בדצמבר 1980); הצעת החוק ודברי הסבר פורסמו בה"ח 1490,</w:t>
                  </w:r>
                </w:p>
                <w:p w:rsidR="005D4E4B" w:rsidRDefault="005D4E4B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51.</w:t>
                  </w:r>
                </w:p>
                <w:p w:rsidR="005D4E4B" w:rsidRPr="00D96397" w:rsidRDefault="005D4E4B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התשי"ג,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" o:spid="_x0000_s1027" type="#_x0000_t202" style="position:absolute;left:0;text-align:left;margin-left:88.15pt;margin-top:101.1pt;width:459.75pt;height:557.95pt;z-index:2;mso-position-horizontal-relative:page;mso-position-vertical-relative:page" stroked="f">
            <v:textbox style="mso-next-textbox:#_x0000_s33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8"/>
                    <w:gridCol w:w="1064"/>
                    <w:gridCol w:w="1199"/>
                  </w:tblGrid>
                  <w:tr w:rsidR="005D4E4B" w:rsidRPr="00D96397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Default="005D4E4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האנטומיה והפתולוגיה, התשי"ג-1953  1(להלן -. החוק העיקרי), בסוף סעיף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יבוא: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""הסכמה" - הסכמה שניתנה מרצון חפשי ומתוך דעה צלולה בטופס שנקבע בתקנות;</w:t>
                        </w:r>
                      </w:p>
                      <w:p w:rsidR="005D4E4B" w:rsidRPr="00D96397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"בן-משפחה" - בן-זוג, ילד, הורה, אח, אחות."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Pr="00D96397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D4E4B" w:rsidRPr="00D96397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העיקרי, הקטע המתחיל במלים "וכן גווייתו של אדם" והמסתיים</w:t>
                        </w:r>
                      </w:p>
                      <w:p w:rsidR="005D4E4B" w:rsidRPr="00D96397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"ובדרך שנקבעו בתקנות" - יימחק.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Pr="00D96397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5D4E4B" w:rsidRPr="00D96397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6 לחוק העיקרי יסומן (א) ואחריו יבוא;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לא תנותח גוויה לפני תום חמש שעות לאחר מתן הודעה על הפטירה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מבני המשפחה; ימי שבת ומועדי ישראל, ולגבי בן משפחה שאינו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יהודי - שבתה וימי חגיה של עדתו, לא יבואו במנין חמש השעות האמורות.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(1), אם היה הניתוח דרוש כדי להשתמש בחלק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מהגוויה לריפויו של אדם, תימסר על כך הודעה לאחד מבני המשפחה בזמן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לפני עשיית הניתוח.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נתגלה צורך להשתמש בחלק מגוויה להציל חייו של פלוני, יבוא במקום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האמור בסעיף קטן (ב) - הזמן שעד המועד המאוחר ביותר שבו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 להוציא את החלק מהגוויה לשם שימוש כאמור; לא ניתן למסור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קטן (ב) תוך המועד האמור, מחמת חוסר אפשרות לאתר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בן-משפחה, מותר הניתוח לפי סעיף קטן זה ובלבד שנעשה נסיון טביר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את ההודעה.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בלי לפגוע בכלליות האמור בפסקה (1), שימוש בקרנית של נפטר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להשתלה באדם פלוני להצילו מעיוורון, שימוש למניעת ליקוי בראייה או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בשמיעה, שימוש בכליה של נפטר, ושימוש ברקמות עור של נפטר להשתלה</w:t>
                        </w:r>
                      </w:p>
                      <w:p w:rsidR="005D4E4B" w:rsidRPr="00D96397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להציל חייו של אדם פלוני הם שימושים בחלקי גוויה להצלת חיים."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Pr="00D96397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5D4E4B" w:rsidRPr="00D96397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Pr="00D96397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6 לחוק העיקרי יבוא:</w:t>
                        </w:r>
                      </w:p>
                    </w:tc>
                    <w:tc>
                      <w:tcPr>
                        <w:tcW w:w="717" w:type="pct"/>
                        <w:vMerge w:val="restart"/>
                      </w:tcPr>
                      <w:p w:rsidR="005D4E4B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5D4E4B" w:rsidRPr="00D96397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6א-6ג</w:t>
                        </w:r>
                      </w:p>
                    </w:tc>
                  </w:tr>
                  <w:tr w:rsidR="005D4E4B">
                    <w:trPr>
                      <w:jc w:val="right"/>
                    </w:trPr>
                    <w:tc>
                      <w:tcPr>
                        <w:tcW w:w="3647" w:type="pct"/>
                      </w:tcPr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השאיר הנפטר בני משפחה, לא תנותח גווייתו לפי סעיף 6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למעט ניתוח בנסיבות כאמור בסעיף 6(ג) - אלא אם נתקיימו גם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אלה: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הסכים לכך בן זוגו של הנפטר, ובהעדר בן זוג -? ילדיו,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 ילדים - הוריו, ובהעדר הורים - אחיו או אחותו;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התנגד לכך בכתב בן משפחה שבאותה דרגת קרבה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שהסכים כאמור, או בן-משפחה שבדרגת קרבה שלאח-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 בנסיבות המקרה בהתאם לסדר דרגות הקרבה שבפסקה (1).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התנגד אדם בחייו בכתב שגווייתו תנותח, הרי על אף האמור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ועל אף כל הסכמה של בן-משפחה לפי סעיף קטן (א) - לא</w:t>
                        </w:r>
                      </w:p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הניתוח.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5D4E4B" w:rsidRPr="00D96397" w:rsidRDefault="005D4E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</w:t>
                        </w:r>
                      </w:p>
                    </w:tc>
                    <w:tc>
                      <w:tcPr>
                        <w:tcW w:w="717" w:type="pct"/>
                        <w:vMerge/>
                      </w:tcPr>
                      <w:p w:rsidR="005D4E4B" w:rsidRDefault="005D4E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4E4B" w:rsidRDefault="005D4E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4" o:spid="_x0000_s1028" type="#_x0000_t202" style="position:absolute;left:0;text-align:left;margin-left:146.75pt;margin-top:72.75pt;width:290.05pt;height:25.75pt;z-index:1;mso-position-horizontal-relative:page;mso-position-vertical-relative:page" stroked="f">
            <v:textbox style="mso-next-textbox:#_x0000_s3384" inset="0,0,0,0">
              <w:txbxContent>
                <w:p w:rsidR="005D4E4B" w:rsidRPr="00D96397" w:rsidRDefault="005D4E4B">
                  <w:pPr>
                    <w:pStyle w:val="OCRStyle1"/>
                    <w:ind w:left="46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האנטומיה והפתולוגיה (תיקון), התשמ"א-1980 *</w:t>
                  </w:r>
                </w:p>
              </w:txbxContent>
            </v:textbox>
            <w10:wrap anchorx="page" anchory="page"/>
          </v:shape>
        </w:pict>
      </w:r>
    </w:p>
    <w:p w:rsidR="00FD020C" w:rsidRDefault="00FD020C">
      <w:pPr>
        <w:rPr>
          <w:rtl/>
        </w:rPr>
      </w:pPr>
      <w:r>
        <w:rPr>
          <w:rtl/>
        </w:rPr>
        <w:br w:type="page"/>
      </w:r>
    </w:p>
    <w:p w:rsidR="00FD020C" w:rsidRDefault="00000000">
      <w:pPr>
        <w:rPr>
          <w:rtl/>
        </w:rPr>
      </w:pPr>
      <w:r>
        <w:pict>
          <v:shape id="_x0000_s338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85" inset="0,0,0,0">
              <w:txbxContent>
                <w:p w:rsidR="005D4E4B" w:rsidRDefault="005D4E4B">
                  <w:r>
                    <w:rPr>
                      <w:rtl/>
                    </w:rPr>
                    <w:t>43                                           ספר החוקים 992                    ג' בטבת התשמ"א 10.12.1980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6" o:spid="_x0000_s1030" type="#_x0000_t202" style="position:absolute;left:0;text-align:left;margin-left:384.2pt;margin-top:701.35pt;width:174.65pt;height:30.9pt;z-index:10;mso-position-horizontal-relative:page;mso-position-vertical-relative:page" stroked="f">
            <v:textbox style="mso-next-textbox:#_x0000_s3386" inset="0,0,0,0">
              <w:txbxContent>
                <w:p w:rsidR="005D4E4B" w:rsidRDefault="005D4E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87" o:spid="_x0000_s1031" type="#_x0000_t202" style="position:absolute;left:0;text-align:left;margin-left:381.6pt;margin-top:583.35pt;width:108.3pt;height:29.3pt;z-index:9;mso-position-horizontal-relative:page;mso-position-vertical-relative:page" stroked="f">
            <v:textbox style="mso-next-textbox:#_x0000_s3387" inset="0,0,0,0">
              <w:txbxContent>
                <w:p w:rsidR="005D4E4B" w:rsidRPr="00FD020C" w:rsidRDefault="005D4E4B">
                  <w:pPr>
                    <w:pStyle w:val="OCRStyle2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התשי"ח,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" o:spid="_x0000_s1032" type="#_x0000_t202" style="position:absolute;left:0;text-align:left;margin-left:108.6pt;margin-top:508.5pt;width:103.35pt;height:36.05pt;z-index:8;mso-position-horizontal-relative:page;mso-position-vertical-relative:page" stroked="f">
            <v:textbox style="mso-next-textbox:#_x0000_s3388" inset="0,0,0,0">
              <w:txbxContent>
                <w:p w:rsidR="005D4E4B" w:rsidRDefault="005D4E4B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5D4E4B" w:rsidRDefault="005D4E4B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" o:spid="_x0000_s1033" type="#_x0000_t202" style="position:absolute;left:0;text-align:left;margin-left:265.4pt;margin-top:506.7pt;width:80pt;height:39.6pt;z-index:7;mso-position-horizontal-relative:page;mso-position-vertical-relative:page" stroked="f">
            <v:textbox style="mso-next-textbox:#_x0000_s3389" inset="0,0,0,0">
              <w:txbxContent>
                <w:p w:rsidR="005D4E4B" w:rsidRDefault="005D4E4B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D4E4B" w:rsidRDefault="005D4E4B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" o:spid="_x0000_s1034" type="#_x0000_t202" style="position:absolute;left:0;text-align:left;margin-left:375.5pt;margin-top:534.25pt;width:85.35pt;height:33.65pt;z-index:6;mso-position-horizontal-relative:page;mso-position-vertical-relative:page" stroked="f">
            <v:textbox style="mso-next-textbox:#_x0000_s3390" inset="0,0,0,0">
              <w:txbxContent>
                <w:p w:rsidR="005D4E4B" w:rsidRDefault="005D4E4B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D4E4B" w:rsidRDefault="005D4E4B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" o:spid="_x0000_s1035" type="#_x0000_t202" style="position:absolute;left:0;text-align:left;margin-left:93.95pt;margin-top:61.6pt;width:464.1pt;height:430.45pt;z-index:5;mso-position-horizontal-relative:page;mso-position-vertical-relative:page" stroked="f">
            <v:textbox style="mso-next-textbox:#_x0000_s339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7"/>
                    <w:gridCol w:w="1393"/>
                    <w:gridCol w:w="1210"/>
                  </w:tblGrid>
                  <w:tr w:rsidR="005D4E4B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הסכים אדם שגווייתו תנותח, מותר לנתחה על אף כל התנגדות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בן-משפחה.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בנסיבות כאמור בסעיף 6(ג) מותר לנתח את הגוויה זולת אם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 האדם בחייו בכתב שגווייתו תנותח, או אם התנגד לכך בכתב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זוגו, אחד מילדיו או אחד מהוריו,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השאיר אדם בני משפחה, לא תנותח גווייתו אלא אם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לכך בחיים.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באות להוסיף על האמור בסעיף 6.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D4E4B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הוצאת יילוד מגופה של נפטרת כדי לאפשר לו חיים, לא יראו בה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ניתוח לענין חוק זה.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הצלת עובר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D4E4B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בעת מלחמה או בעת פיגוע המוני או בעת תאונה או אסון שגרם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רב של נפגעים לא יחולו הוראות סעיף 6א."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D4E4B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D4E4B" w:rsidRPr="00FD020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ב. סעיף 7(א) לחוק העיקרי, במקום "סעיף 6" יבוא "סעיפים 6 או 6א".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5D4E4B" w:rsidRPr="00FD020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9 לחוק העיקרי יבוא: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5D4E4B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5D4E4B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חוק זה לא יפגע בהוראות חוק חקירת סיבות מוות, התשי"ח-21958,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שופט חוקר כאמור באותו חוק לא יצווה על ניתוח גוויה אלא אם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שיש יסוד סביר לחשש שהמוות נגרם בעבירה או ברשלנות או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בהזנחה, ולאחר שניתנה לאחד מבני המשפחה הודעה על כוונתו לצוות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התייצב אחד מבני המשפחה או אדם או גוף בעל ענין בהליך</w:t>
                        </w:r>
                      </w:p>
                      <w:p w:rsidR="005D4E4B" w:rsidRPr="00FD020C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תינתן לו הזדמנות להשמיע את דבריו."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דינים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D4E4B" w:rsidRPr="00FD020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9 לחוק העיקרי יבוא: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</w:t>
                        </w:r>
                      </w:p>
                    </w:tc>
                  </w:tr>
                  <w:tr w:rsidR="005D4E4B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5D4E4B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על אף האמור בחוק זה, אם היתה סכנה מוחשית ומיידית לברי-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הציבור והתעורר צורך דחוף ומיוחד בניתוח גוויה כדי למנוע</w:t>
                        </w:r>
                      </w:p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כזאת, מותר לנתחה; שר הבריאות יתקין, באישור ועדת החוקה</w:t>
                        </w:r>
                      </w:p>
                      <w:p w:rsidR="005D4E4B" w:rsidRPr="00FD020C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תקנות לגבי סכנה כאמור."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"ניתוחים במקרים</w:t>
                        </w:r>
                      </w:p>
                      <w:p w:rsidR="005D4E4B" w:rsidRPr="00FD020C" w:rsidRDefault="005D4E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5D4E4B" w:rsidRDefault="005D4E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4E4B" w:rsidRDefault="005D4E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D4E4B" w:rsidRDefault="005D4E4B">
      <w:pPr>
        <w:rPr>
          <w:rtl/>
        </w:rPr>
      </w:pPr>
      <w:r>
        <w:rPr>
          <w:rtl/>
        </w:rPr>
        <w:br w:type="page"/>
      </w:r>
    </w:p>
    <w:p w:rsidR="005D4E4B" w:rsidRDefault="00000000">
      <w:pPr>
        <w:rPr>
          <w:rtl/>
        </w:rPr>
      </w:pPr>
      <w:r>
        <w:pict>
          <v:shape id="_x0000_s3392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92" inset="0,0,0,0">
              <w:txbxContent>
                <w:p w:rsidR="005D4E4B" w:rsidRDefault="005D4E4B">
                  <w:r>
                    <w:rPr>
                      <w:rtl/>
                    </w:rPr>
                    <w:t>44                                           ספר החוקים 992                    ג' בטבת התשמ"א 10.12.1980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" o:spid="_x0000_s1037" type="#_x0000_t202" style="position:absolute;left:0;text-align:left;margin-left:91.45pt;margin-top:698.85pt;width:140.4pt;height:41.2pt;z-index:12;mso-position-horizontal-relative:page;mso-position-vertical-relative:page" stroked="f">
            <v:textbox style="mso-next-textbox:#_x0000_s3393" inset="0,0,0,0">
              <w:txbxContent>
                <w:p w:rsidR="005D4E4B" w:rsidRDefault="005D4E4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63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B378FF-81C8-44B5-9565-E961D38D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639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D020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D4E4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2008-04-07T00:29:00Z</dcterms:created>
  <dcterms:modified xsi:type="dcterms:W3CDTF">2008-04-07T00:29:00Z</dcterms:modified>
</cp:coreProperties>
</file>