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33F3A" w:rsidRDefault="00C33F3A">
      <w:pPr>
        <w:rPr>
          <w:rtl/>
        </w:rPr>
      </w:pPr>
    </w:p>
    <w:p w:rsidR="00C33F3A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58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586" inset="0,0,0,0">
              <w:txbxContent>
                <w:p w:rsidR="00C33F3A" w:rsidRDefault="00C33F3A">
                  <w:r>
                    <w:rPr>
                      <w:rtl/>
                    </w:rPr>
                    <w:t>93                                           ספר החוקים 737                   כ' בתמוז התשל"ד 10.07.1974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7" o:spid="_x0000_s1026" type="#_x0000_t202" style="position:absolute;left:0;text-align:left;margin-left:155.25pt;margin-top:572.15pt;width:404.7pt;height:176.6pt;z-index:6;mso-position-horizontal-relative:page;mso-position-vertical-relative:page" stroked="f">
            <v:textbox style="mso-next-textbox:#_x0000_s3587" inset="0,0,0,0">
              <w:txbxContent>
                <w:p w:rsidR="00C33F3A" w:rsidRDefault="00C33F3A">
                  <w:pPr>
                    <w:pStyle w:val="OCRStyle1"/>
                    <w:ind w:left="367"/>
                    <w:rPr>
                      <w:rtl/>
                    </w:rPr>
                  </w:pPr>
                  <w:r>
                    <w:rPr>
                      <w:rtl/>
                    </w:rPr>
                    <w:t>*נתקבל בכנסת ביום י"ב בתמוז תשל"ד (2 ביולי 1974); הצעת החוק ודברי הסבר פורסמו בה"ח 1025, תשל"ג,</w:t>
                  </w:r>
                </w:p>
                <w:p w:rsidR="00C33F3A" w:rsidRDefault="00C33F3A">
                  <w:pPr>
                    <w:pStyle w:val="OCRStyle1"/>
                    <w:ind w:left="486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עמ' .59</w:t>
                  </w:r>
                </w:p>
                <w:p w:rsidR="00C33F3A" w:rsidRDefault="00C33F3A">
                  <w:pPr>
                    <w:pStyle w:val="OCRStyle1"/>
                    <w:ind w:left="374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תשכ"ח, עמ' 184.</w:t>
                  </w:r>
                </w:p>
                <w:p w:rsidR="00C33F3A" w:rsidRPr="00C33F3A" w:rsidRDefault="00C33F3A">
                  <w:pPr>
                    <w:pStyle w:val="OCRStyle1"/>
                    <w:ind w:left="374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ע"ר 1934, תוס' 1, עמ' .165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8" o:spid="_x0000_s1027" type="#_x0000_t202" style="position:absolute;left:0;text-align:left;margin-left:195.85pt;margin-top:462.1pt;width:100.6pt;height:45.55pt;z-index:5;mso-position-horizontal-relative:page;mso-position-vertical-relative:page" stroked="f">
            <v:textbox style="mso-next-textbox:#_x0000_s3588" inset="0,0,0,0">
              <w:txbxContent>
                <w:p w:rsidR="00C33F3A" w:rsidRDefault="00C33F3A">
                  <w:pPr>
                    <w:pStyle w:val="OCRStyle1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חיים י' צדוק</w:t>
                  </w:r>
                </w:p>
                <w:p w:rsidR="00C33F3A" w:rsidRDefault="00C33F3A">
                  <w:pPr>
                    <w:pStyle w:val="OCRStyle1"/>
                    <w:ind w:left="454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589" o:spid="_x0000_s1028" type="#_x0000_t202" style="position:absolute;left:0;text-align:left;margin-left:314.65pt;margin-top:465.45pt;width:91.3pt;height:49.9pt;z-index:4;mso-position-horizontal-relative:page;mso-position-vertical-relative:page" stroked="f">
            <v:textbox style="mso-next-textbox:#_x0000_s3589" inset="0,0,0,0">
              <w:txbxContent>
                <w:p w:rsidR="00C33F3A" w:rsidRDefault="00C33F3A">
                  <w:pPr>
                    <w:pStyle w:val="OCRStyle1"/>
                    <w:ind w:left="227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C33F3A" w:rsidRDefault="00C33F3A">
                  <w:pPr>
                    <w:pStyle w:val="OCRStyle1"/>
                    <w:ind w:left="24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0" o:spid="_x0000_s1029" type="#_x0000_t202" style="position:absolute;left:0;text-align:left;margin-left:454.85pt;margin-top:490.4pt;width:107.7pt;height:43.95pt;z-index:3;mso-position-horizontal-relative:page;mso-position-vertical-relative:page" stroked="f">
            <v:textbox style="mso-next-textbox:#_x0000_s3590" inset="0,0,0,0">
              <w:txbxContent>
                <w:p w:rsidR="00C33F3A" w:rsidRDefault="00C33F3A">
                  <w:pPr>
                    <w:pStyle w:val="OCRStyle1"/>
                    <w:ind w:left="191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C33F3A" w:rsidRDefault="00C33F3A">
                  <w:pPr>
                    <w:pStyle w:val="OCRStyle1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591" o:spid="_x0000_s1030" type="#_x0000_t202" style="position:absolute;left:0;text-align:left;margin-left:88.15pt;margin-top:109.85pt;width:473.6pt;height:333.25pt;z-index:2;mso-position-horizontal-relative:page;mso-position-vertical-relative:page" stroked="f">
            <v:textbox style="mso-next-textbox:#_x0000_s3591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609"/>
                    <w:gridCol w:w="5627"/>
                    <w:gridCol w:w="1374"/>
                  </w:tblGrid>
                  <w:tr w:rsidR="00C33F3A" w:rsidRPr="00C33F3A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C33F3A" w:rsidRPr="00C33F3A" w:rsidRDefault="00C33F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</w:t>
                        </w:r>
                      </w:p>
                    </w:tc>
                    <w:tc>
                      <w:tcPr>
                        <w:tcW w:w="4066" w:type="pct"/>
                        <w:gridSpan w:val="2"/>
                      </w:tcPr>
                      <w:p w:rsidR="00C33F3A" w:rsidRDefault="00C33F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1 לחוק הבוררות, תשכ"ח-1968 1 (להלן - החוק העיקרי), אחרי הגדרת</w:t>
                        </w:r>
                      </w:p>
                      <w:p w:rsidR="00C33F3A" w:rsidRDefault="00C33F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"פסק בוררות" יבוא:</w:t>
                        </w:r>
                      </w:p>
                      <w:p w:rsidR="00C33F3A" w:rsidRPr="00C33F3A" w:rsidRDefault="00C33F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""פסק בוררות-חוץ" - פסק בוררות שניתן מחוץ לישראל;".</w:t>
                        </w:r>
                      </w:p>
                    </w:tc>
                  </w:tr>
                  <w:tr w:rsidR="00C33F3A" w:rsidRPr="00C33F3A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C33F3A" w:rsidRPr="00C33F3A" w:rsidRDefault="00C33F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27</w:t>
                        </w:r>
                      </w:p>
                    </w:tc>
                    <w:tc>
                      <w:tcPr>
                        <w:tcW w:w="4066" w:type="pct"/>
                        <w:gridSpan w:val="2"/>
                      </w:tcPr>
                      <w:p w:rsidR="00C33F3A" w:rsidRDefault="00C33F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בסעיף 27(א) לחוק העיקרי, בסופו יבוא "ובכל מקרה שהוגשה בקשה לאישור של</w:t>
                        </w:r>
                      </w:p>
                      <w:p w:rsidR="00C33F3A" w:rsidRPr="00C33F3A" w:rsidRDefault="00C33F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פסק בוררות-חוץ".</w:t>
                        </w:r>
                      </w:p>
                    </w:tc>
                  </w:tr>
                  <w:tr w:rsidR="00C33F3A" w:rsidRPr="00C33F3A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C33F3A" w:rsidRPr="00C33F3A" w:rsidRDefault="00C33F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29א</w:t>
                        </w:r>
                      </w:p>
                    </w:tc>
                    <w:tc>
                      <w:tcPr>
                        <w:tcW w:w="4066" w:type="pct"/>
                        <w:gridSpan w:val="2"/>
                      </w:tcPr>
                      <w:p w:rsidR="00C33F3A" w:rsidRPr="00C33F3A" w:rsidRDefault="00C33F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אחרי סעיף 29 לחוק העיקרי יבוא:</w:t>
                        </w:r>
                      </w:p>
                    </w:tc>
                  </w:tr>
                  <w:tr w:rsidR="00C33F3A" w:rsidRPr="00C33F3A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C33F3A" w:rsidRDefault="00C33F3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8" w:type="pct"/>
                      </w:tcPr>
                      <w:p w:rsidR="00C33F3A" w:rsidRDefault="00C33F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29א. בקשה לאישור או לביטול של פסק בוררות-חוץ שחלה עליו אמנה</w:t>
                        </w:r>
                      </w:p>
                      <w:p w:rsidR="00C33F3A" w:rsidRDefault="00C33F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בינלאומית שישראל צד לה והאמנה קובעת הוראות בענין הנדון, תוגש</w:t>
                        </w:r>
                      </w:p>
                      <w:p w:rsidR="00C33F3A" w:rsidRDefault="00C33F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ותידון בהתאם לאותן הוראות ובכפוף להן."</w:t>
                        </w:r>
                      </w:p>
                    </w:tc>
                    <w:tc>
                      <w:tcPr>
                        <w:tcW w:w="798" w:type="pct"/>
                      </w:tcPr>
                      <w:p w:rsidR="00C33F3A" w:rsidRDefault="00C33F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"פסק בוררות</w:t>
                        </w:r>
                      </w:p>
                      <w:p w:rsidR="00C33F3A" w:rsidRPr="00C33F3A" w:rsidRDefault="00C33F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חוץ</w:t>
                        </w:r>
                      </w:p>
                    </w:tc>
                  </w:tr>
                  <w:tr w:rsidR="00C33F3A" w:rsidRPr="00C33F3A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C33F3A" w:rsidRPr="00C33F3A" w:rsidRDefault="00C33F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הוספו; סעיף 39א</w:t>
                        </w:r>
                      </w:p>
                    </w:tc>
                    <w:tc>
                      <w:tcPr>
                        <w:tcW w:w="4066" w:type="pct"/>
                        <w:gridSpan w:val="2"/>
                      </w:tcPr>
                      <w:p w:rsidR="00C33F3A" w:rsidRPr="00C33F3A" w:rsidRDefault="00C33F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אחרי סעיף 39 לחוק העיקרי יבוא:</w:t>
                        </w:r>
                      </w:p>
                    </w:tc>
                  </w:tr>
                  <w:tr w:rsidR="00C33F3A" w:rsidRPr="00C33F3A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C33F3A" w:rsidRDefault="00C33F3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8" w:type="pct"/>
                      </w:tcPr>
                      <w:p w:rsidR="00C33F3A" w:rsidRDefault="00C33F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39א. אין בהוראות חוק זה כדי למנוע עיכוב ההליכים בבית המשפט,</w:t>
                        </w:r>
                      </w:p>
                      <w:p w:rsidR="00C33F3A" w:rsidRDefault="00C33F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אישור או ביטול של פסק בוררות או הליך אחר על פי חוק זה, אף אם</w:t>
                        </w:r>
                      </w:p>
                      <w:p w:rsidR="00C33F3A" w:rsidRDefault="00C33F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חל על הבוררות דין חוץ, או שפסק הבוררות הוא פסק בוררות-חוץ,</w:t>
                        </w:r>
                      </w:p>
                      <w:p w:rsidR="00C33F3A" w:rsidRDefault="00C33F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שלא חלה עליהם אמנה כאמור בסעיפים 6 או 29א או שאין באמנה הוראות</w:t>
                        </w:r>
                      </w:p>
                      <w:p w:rsidR="00C33F3A" w:rsidRDefault="00C33F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בענין הנדון."</w:t>
                        </w:r>
                      </w:p>
                    </w:tc>
                    <w:tc>
                      <w:tcPr>
                        <w:tcW w:w="798" w:type="pct"/>
                      </w:tcPr>
                      <w:p w:rsidR="00C33F3A" w:rsidRPr="00C33F3A" w:rsidRDefault="00C33F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"שמירת דינים</w:t>
                        </w:r>
                      </w:p>
                    </w:tc>
                  </w:tr>
                  <w:tr w:rsidR="00C33F3A" w:rsidRPr="00C33F3A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C33F3A" w:rsidRPr="00C33F3A" w:rsidRDefault="00C33F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הוספת סעיף 42</w:t>
                        </w:r>
                      </w:p>
                    </w:tc>
                    <w:tc>
                      <w:tcPr>
                        <w:tcW w:w="4066" w:type="pct"/>
                        <w:gridSpan w:val="2"/>
                      </w:tcPr>
                      <w:p w:rsidR="00C33F3A" w:rsidRPr="00C33F3A" w:rsidRDefault="00C33F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אחרי סעיף 41 לחוק העיקרי יבוא:</w:t>
                        </w:r>
                      </w:p>
                    </w:tc>
                  </w:tr>
                  <w:tr w:rsidR="00C33F3A" w:rsidRPr="00C33F3A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C33F3A" w:rsidRDefault="00C33F3A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268" w:type="pct"/>
                      </w:tcPr>
                      <w:p w:rsidR="00C33F3A" w:rsidRDefault="00C33F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42. שר המשפטים ממונה על ביצוע חוק זה והוא רשאי להתקין תקנות</w:t>
                        </w:r>
                      </w:p>
                      <w:p w:rsidR="00C33F3A" w:rsidRDefault="00C33F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סדרי דין במידה שהדבר דרוש לקיום אמנה כאמור בסעיפים 6 או 29א."</w:t>
                        </w:r>
                      </w:p>
                    </w:tc>
                    <w:tc>
                      <w:tcPr>
                        <w:tcW w:w="798" w:type="pct"/>
                      </w:tcPr>
                      <w:p w:rsidR="00C33F3A" w:rsidRPr="00C33F3A" w:rsidRDefault="00C33F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"ביצוע ותקנות</w:t>
                        </w:r>
                      </w:p>
                    </w:tc>
                  </w:tr>
                  <w:tr w:rsidR="00C33F3A" w:rsidRPr="00C33F3A">
                    <w:trPr>
                      <w:jc w:val="right"/>
                    </w:trPr>
                    <w:tc>
                      <w:tcPr>
                        <w:tcW w:w="934" w:type="pct"/>
                      </w:tcPr>
                      <w:p w:rsidR="00C33F3A" w:rsidRPr="00C33F3A" w:rsidRDefault="00C33F3A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</w:t>
                        </w:r>
                      </w:p>
                    </w:tc>
                    <w:tc>
                      <w:tcPr>
                        <w:tcW w:w="4066" w:type="pct"/>
                        <w:gridSpan w:val="2"/>
                      </w:tcPr>
                      <w:p w:rsidR="00C33F3A" w:rsidRPr="00C33F3A" w:rsidRDefault="00C33F3A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פקודת הבוררות (פסקי בוררות של חו"ל), 1934 2 - בטלה.</w:t>
                        </w:r>
                      </w:p>
                    </w:tc>
                  </w:tr>
                </w:tbl>
                <w:p w:rsidR="00C33F3A" w:rsidRDefault="00C33F3A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592" o:spid="_x0000_s1031" type="#_x0000_t202" style="position:absolute;left:0;text-align:left;margin-left:258.65pt;margin-top:75.6pt;width:219.6pt;height:28.3pt;z-index:1;mso-position-horizontal-relative:page;mso-position-vertical-relative:page" stroked="f">
            <v:textbox style="mso-next-textbox:#_x0000_s3592" inset="0,0,0,0">
              <w:txbxContent>
                <w:p w:rsidR="00C33F3A" w:rsidRPr="00C33F3A" w:rsidRDefault="00C33F3A">
                  <w:pPr>
                    <w:pStyle w:val="OCRStyle1"/>
                    <w:ind w:left="17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הבוררות (תיקון), תשל"ד-1974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C33F3A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3F3A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B8995EE-97F8-47AA-980B-F386DB68F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C33F3A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2008-04-06T22:10:00Z</dcterms:created>
  <dcterms:modified xsi:type="dcterms:W3CDTF">2008-04-06T22:10:00Z</dcterms:modified>
</cp:coreProperties>
</file>