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411D" w:rsidRDefault="0053411D">
      <w:pPr>
        <w:rPr>
          <w:rtl/>
        </w:rPr>
      </w:pPr>
    </w:p>
    <w:p w:rsidR="005341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7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72" inset="0,0,0,0">
              <w:txbxContent>
                <w:p w:rsidR="0053411D" w:rsidRDefault="0053411D">
                  <w:r>
                    <w:rPr>
                      <w:rtl/>
                    </w:rPr>
                    <w:t>82                                          ספר החוקים 1044                   ט"ז באדר התשמ"ב 11.03.1982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3" o:spid="_x0000_s1026" type="#_x0000_t202" style="position:absolute;left:0;text-align:left;margin-left:84.4pt;margin-top:703.9pt;width:174.85pt;height:42pt;z-index:7;mso-wrap-style:none;mso-position-horizontal-relative:page;mso-position-vertical-relative:page" stroked="f">
            <v:textbox style="mso-next-textbox:#_x0000_s3673" inset="0,0,0,0">
              <w:txbxContent>
                <w:p w:rsidR="0053411D" w:rsidRDefault="0053411D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1044, ט''ז באדר התשמ"ב, 11.3.1982</w:t>
                  </w:r>
                </w:p>
                <w:p w:rsidR="0053411D" w:rsidRPr="0053411D" w:rsidRDefault="0053411D">
                  <w:pPr>
                    <w:pStyle w:val="OCRStyle1"/>
                    <w:ind w:left="803"/>
                  </w:pPr>
                  <w:r>
                    <w:rPr>
                      <w:sz w:val="18"/>
                      <w:szCs w:val="18"/>
                      <w:rtl/>
                    </w:rPr>
                    <w:t>נדפס גדפוס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4" o:spid="_x0000_s1027" type="#_x0000_t202" style="position:absolute;left:0;text-align:left;margin-left:95.1pt;margin-top:442.35pt;width:388.65pt;height:50.3pt;z-index:6;mso-wrap-style:none;mso-position-horizontal-relative:page;mso-position-vertical-relative:page" stroked="f">
            <v:textbox style="mso-next-textbox:#_x0000_s3674" inset="0,0,0,0">
              <w:txbxContent>
                <w:p w:rsidR="0053411D" w:rsidRDefault="0053411D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 נתקבל בכנסת ביום ח' באדר התשמ"ב (3 במרס 1982); הצעת החוק ודברי הסבר פורסמו בה"ת 1563, התשמ"ב,</w:t>
                  </w:r>
                </w:p>
                <w:p w:rsidR="0053411D" w:rsidRDefault="0053411D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.73</w:t>
                  </w:r>
                </w:p>
                <w:p w:rsidR="0053411D" w:rsidRPr="0053411D" w:rsidRDefault="0053411D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108; התשל"ט, עמ' 149; התשמ"א, עמ' 276.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5" o:spid="_x0000_s1028" type="#_x0000_t202" style="position:absolute;left:0;text-align:left;margin-left:96.1pt;margin-top:351.65pt;width:152.45pt;height:42pt;z-index:5;mso-wrap-style:none;mso-position-horizontal-relative:page;mso-position-vertical-relative:page" stroked="f">
            <v:textbox style="mso-next-textbox:#_x0000_s3675" inset="0,0,0,0">
              <w:txbxContent>
                <w:p w:rsidR="0053411D" w:rsidRDefault="0053411D">
                  <w:pPr>
                    <w:pStyle w:val="OCRStyle1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3411D" w:rsidRDefault="0053411D">
                  <w:pPr>
                    <w:pStyle w:val="OCRStyle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53411D" w:rsidRDefault="0053411D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ממלא מקום 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6" o:spid="_x0000_s1029" type="#_x0000_t202" style="position:absolute;left:0;text-align:left;margin-left:387.15pt;margin-top:388.65pt;width:102.35pt;height:41.4pt;z-index:4;mso-wrap-style:none;mso-position-horizontal-relative:page;mso-position-vertical-relative:page" stroked="f">
            <v:textbox style="mso-next-textbox:#_x0000_s3676" inset="0,0,0,0">
              <w:txbxContent>
                <w:p w:rsidR="0053411D" w:rsidRDefault="0053411D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3411D" w:rsidRDefault="0053411D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7" o:spid="_x0000_s1030" type="#_x0000_t202" style="position:absolute;left:0;text-align:left;margin-left:267.55pt;margin-top:350.85pt;width:94.85pt;height:35.45pt;z-index:3;mso-wrap-style:none;mso-position-horizontal-relative:page;mso-position-vertical-relative:page" stroked="f">
            <v:textbox style="mso-next-textbox:#_x0000_s3677" inset="0,0,0,0">
              <w:txbxContent>
                <w:p w:rsidR="0053411D" w:rsidRDefault="0053411D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3411D" w:rsidRDefault="0053411D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8" o:spid="_x0000_s1031" type="#_x0000_t202" style="position:absolute;left:0;text-align:left;margin-left:87.8pt;margin-top:112.25pt;width:462.75pt;height:233.65pt;z-index:2;mso-wrap-style:none;mso-position-horizontal-relative:page;mso-position-vertical-relative:page" stroked="f">
            <v:textbox style="mso-next-textbox:#_x0000_s3678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2"/>
                    <w:gridCol w:w="1213"/>
                    <w:gridCol w:w="1327"/>
                  </w:tblGrid>
                  <w:tr w:rsidR="0053411D" w:rsidRPr="0053411D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53411D" w:rsidRDefault="0053411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22 לחוק הביטוח הלאומי [נוסח חדש], התשכ"ח-1968 1( להלן -</w:t>
                        </w:r>
                      </w:p>
                      <w:p w:rsidR="0053411D" w:rsidRP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3411D" w:rsidRPr="0053411D" w:rsidRDefault="005341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22א</w:t>
                        </w:r>
                      </w:p>
                    </w:tc>
                  </w:tr>
                  <w:tr w:rsidR="0053411D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- (א) נפטר מבוטח ומשתלמת מכוחו קצבת שאירים, ישלם המוסד</w:t>
                        </w:r>
                      </w:p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לילדו בהגיעו לגיל 13, ולילדתו - בהגיעה לגיל 12, מענק בשיעור</w:t>
                        </w:r>
                      </w:p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מהשכר הממוצע כפי שהיה ב-1 באפריל, בעיגול לעשרה</w:t>
                        </w:r>
                      </w:p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השקלים הקרובים.</w:t>
                        </w:r>
                      </w:p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לאחר תחילתה של שנת כספים חל פיצוי, יוגדל המענק</w:t>
                        </w:r>
                      </w:p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בשיעור הפיצוי."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ליתום</w:t>
                        </w:r>
                      </w:p>
                      <w:p w:rsidR="0053411D" w:rsidRPr="0053411D" w:rsidRDefault="005341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שהגיע למצוות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411D" w:rsidRPr="0053411D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53411D" w:rsidRDefault="005341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82ד(א) לחוק העיקרי, אחרי ''מבוטח שפגיעה בעבודה גרמה למותו" יבוא</w:t>
                        </w:r>
                      </w:p>
                      <w:p w:rsid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"ושמשתלמת מכוחו קצבת תלויים", ובמקום "בעיגול למאה הלירות הקרובות" יבוא</w:t>
                        </w:r>
                      </w:p>
                      <w:p w:rsidR="0053411D" w:rsidRP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"בעיגול לעשרה השקלים הקרובים".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3411D" w:rsidRPr="0053411D" w:rsidRDefault="005341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82ד</w:t>
                        </w:r>
                      </w:p>
                    </w:tc>
                  </w:tr>
                  <w:tr w:rsidR="0053411D" w:rsidRPr="0053411D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53411D" w:rsidRPr="0053411D" w:rsidRDefault="005341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בסעיף 181 (ב) לחוק העיקרי, לפני "29" יבוא "22א".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53411D" w:rsidRPr="0053411D" w:rsidRDefault="005341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</w:t>
                        </w:r>
                      </w:p>
                    </w:tc>
                  </w:tr>
                </w:tbl>
                <w:p w:rsidR="0053411D" w:rsidRDefault="005341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9" o:spid="_x0000_s1032" type="#_x0000_t202" style="position:absolute;left:0;text-align:left;margin-left:144.6pt;margin-top:79.4pt;width:287.1pt;height:28.1pt;z-index:1;mso-wrap-style:none;mso-position-horizontal-relative:page;mso-position-vertical-relative:page" stroked="f">
            <v:textbox style="mso-next-textbox:#_x0000_s3679" inset="0,0,0,0">
              <w:txbxContent>
                <w:p w:rsidR="0053411D" w:rsidRPr="0053411D" w:rsidRDefault="0053411D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44),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41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F3F514-721F-43A6-B4C0-23D30C2D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411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2008-04-07T01:02:00Z</dcterms:created>
  <dcterms:modified xsi:type="dcterms:W3CDTF">2008-04-07T01:02:00Z</dcterms:modified>
</cp:coreProperties>
</file>