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23733" w:rsidRDefault="00223733">
      <w:pPr>
        <w:rPr>
          <w:rtl/>
        </w:rPr>
      </w:pPr>
    </w:p>
    <w:p w:rsidR="0022373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0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808" inset="0,0,0,0">
              <w:txbxContent>
                <w:p w:rsidR="004427FE" w:rsidRDefault="004427FE">
                  <w:r>
                    <w:rPr>
                      <w:rtl/>
                    </w:rPr>
                    <w:t>141                                          ספר החוקים 897                 י"ז בסיוון התשל"ח 22.06.1978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9" o:spid="_x0000_s1026" type="#_x0000_t202" style="position:absolute;left:0;text-align:left;margin-left:147.75pt;margin-top:671.9pt;width:398.55pt;height:79.4pt;z-index:3;mso-position-horizontal-relative:page;mso-position-vertical-relative:page" stroked="f">
            <v:textbox style="mso-next-textbox:#_x0000_s3809" inset="0,0,0,0">
              <w:txbxContent>
                <w:p w:rsidR="004427FE" w:rsidRDefault="004427FE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בסיון תשל"ח (13 ביוני 1978); הצעת החוק ודברי הסבר פורסמו בה"ח 1329 ,השל"ח,</w:t>
                  </w:r>
                </w:p>
                <w:p w:rsidR="004427FE" w:rsidRDefault="004427FE">
                  <w:pPr>
                    <w:pStyle w:val="OCRStyle1"/>
                    <w:ind w:left="55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109.</w:t>
                  </w:r>
                </w:p>
                <w:p w:rsidR="004427FE" w:rsidRPr="00223733" w:rsidRDefault="004427FE">
                  <w:pPr>
                    <w:pStyle w:val="OCRStyle1"/>
                    <w:ind w:left="45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תשכיח, עמ' 108; תשל"ח, עמ' 116.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0" o:spid="_x0000_s1027" type="#_x0000_t202" style="position:absolute;left:0;text-align:left;margin-left:85.6pt;margin-top:108pt;width:463.3pt;height:555.2pt;z-index:2;mso-position-horizontal-relative:page;mso-position-vertical-relative:page" stroked="f">
            <v:textbox style="mso-next-textbox:#_x0000_s381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1"/>
                    <w:gridCol w:w="5674"/>
                    <w:gridCol w:w="1441"/>
                  </w:tblGrid>
                  <w:tr w:rsidR="004427FE" w:rsidRPr="00223733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4427FE" w:rsidRPr="00223733" w:rsidRDefault="004427F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78</w:t>
                        </w:r>
                      </w:p>
                    </w:tc>
                    <w:tc>
                      <w:tcPr>
                        <w:tcW w:w="4222" w:type="pct"/>
                        <w:gridSpan w:val="2"/>
                      </w:tcPr>
                      <w:p w:rsidR="004427FE" w:rsidRDefault="004427F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78 (א) לחוק הביטוח הלאומי ננוסח משולב], תשכ"ח--1968  1(להלן - החוק</w:t>
                        </w:r>
                      </w:p>
                      <w:p w:rsidR="004427FE" w:rsidRPr="00223733" w:rsidRDefault="004427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בפסקה (1), במקום "בסעיף 76 (1) או (5)" יבוא "בסעיף 76 (1)".</w:t>
                        </w:r>
                      </w:p>
                    </w:tc>
                  </w:tr>
                  <w:tr w:rsidR="004427FE" w:rsidRPr="00223733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4427FE" w:rsidRPr="00223733" w:rsidRDefault="004427F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הוספו; סעיף 109א</w:t>
                        </w:r>
                      </w:p>
                    </w:tc>
                    <w:tc>
                      <w:tcPr>
                        <w:tcW w:w="4222" w:type="pct"/>
                        <w:gridSpan w:val="2"/>
                      </w:tcPr>
                      <w:p w:rsidR="004427FE" w:rsidRPr="00223733" w:rsidRDefault="004427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109 לחוק העיקרי יבוא:</w:t>
                        </w:r>
                      </w:p>
                    </w:tc>
                  </w:tr>
                  <w:tr w:rsidR="004427FE" w:rsidRPr="00223733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4427FE" w:rsidRDefault="004427F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7" w:type="pct"/>
                      </w:tcPr>
                      <w:p w:rsidR="004427FE" w:rsidRDefault="004427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109א. נמצא ילד במקום בתנאי פנימית ועיקר החזקתו באותו מקום הוא</w:t>
                        </w:r>
                      </w:p>
                      <w:p w:rsidR="004427FE" w:rsidRDefault="004427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המדינה, על רשות מקומית או על הסוכנות היהודית לארץ ישראל,</w:t>
                        </w:r>
                      </w:p>
                      <w:p w:rsidR="004427FE" w:rsidRDefault="004427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יופחת מקצבת הילדים המשולמת בעד אותו ילד לפי סעיף 109 סכום</w:t>
                        </w:r>
                      </w:p>
                      <w:p w:rsidR="004427FE" w:rsidRDefault="004427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השווה לנקודת קצבה כמשמעותה באותו סעיף, הכל לפי תנאים וכללים</w:t>
                        </w:r>
                      </w:p>
                      <w:p w:rsidR="004427FE" w:rsidRDefault="004427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בתקנות באישור ועדת העבודה והרווחה של הכנסת."</w:t>
                        </w:r>
                      </w:p>
                    </w:tc>
                    <w:tc>
                      <w:tcPr>
                        <w:tcW w:w="855" w:type="pct"/>
                      </w:tcPr>
                      <w:p w:rsidR="004427FE" w:rsidRPr="00223733" w:rsidRDefault="004427F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"הפחתת קיצבה</w:t>
                        </w:r>
                      </w:p>
                    </w:tc>
                  </w:tr>
                  <w:tr w:rsidR="004427FE" w:rsidRPr="00223733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4427FE" w:rsidRDefault="004427F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</w:t>
                        </w:r>
                      </w:p>
                      <w:p w:rsidR="004427FE" w:rsidRPr="00223733" w:rsidRDefault="004427F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127כא</w:t>
                        </w:r>
                      </w:p>
                    </w:tc>
                    <w:tc>
                      <w:tcPr>
                        <w:tcW w:w="4222" w:type="pct"/>
                        <w:gridSpan w:val="2"/>
                      </w:tcPr>
                      <w:p w:rsidR="004427FE" w:rsidRDefault="004427F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127כא לחוק העיקרי, בהגדרת "מבוטח", אחרי פסקה (1) יבוא:</w:t>
                        </w:r>
                      </w:p>
                      <w:p w:rsidR="004427FE" w:rsidRDefault="004427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"(1א) תושב ישראל שבידו אשרת עולה או תעודת עולה</w:t>
                        </w:r>
                      </w:p>
                      <w:p w:rsidR="004427FE" w:rsidRDefault="004427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השבות, תש"י-1950 2, ואינו מבוטח לפי פרק ב'</w:t>
                        </w:r>
                      </w:p>
                      <w:p w:rsidR="004427FE" w:rsidRPr="00223733" w:rsidRDefault="004427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בגלל האמור בסעיף 7 (2) (א);".</w:t>
                        </w:r>
                      </w:p>
                    </w:tc>
                  </w:tr>
                  <w:tr w:rsidR="004427FE" w:rsidRPr="00223733">
                    <w:trPr>
                      <w:jc w:val="right"/>
                    </w:trPr>
                    <w:tc>
                      <w:tcPr>
                        <w:tcW w:w="778" w:type="pct"/>
                        <w:vMerge w:val="restart"/>
                      </w:tcPr>
                      <w:p w:rsidR="004427FE" w:rsidRDefault="004427F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</w:t>
                        </w:r>
                      </w:p>
                      <w:p w:rsidR="004427FE" w:rsidRPr="00223733" w:rsidRDefault="004427F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127בב1</w:t>
                        </w:r>
                      </w:p>
                    </w:tc>
                    <w:tc>
                      <w:tcPr>
                        <w:tcW w:w="4222" w:type="pct"/>
                        <w:gridSpan w:val="2"/>
                      </w:tcPr>
                      <w:p w:rsidR="004427FE" w:rsidRPr="00223733" w:rsidRDefault="004427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אחרי סעיף 127כב לחוק העיקרי יבוא:</w:t>
                        </w:r>
                      </w:p>
                    </w:tc>
                  </w:tr>
                  <w:tr w:rsidR="004427FE" w:rsidRPr="00223733">
                    <w:trPr>
                      <w:jc w:val="right"/>
                    </w:trPr>
                    <w:tc>
                      <w:tcPr>
                        <w:tcW w:w="778" w:type="pct"/>
                        <w:vMerge/>
                      </w:tcPr>
                      <w:p w:rsidR="004427FE" w:rsidRDefault="004427F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7" w:type="pct"/>
                      </w:tcPr>
                      <w:p w:rsidR="004427FE" w:rsidRDefault="004427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127כב1. (א) על אף האמור בסעיף 127כב(א), תושב ישראל שבידו</w:t>
                        </w:r>
                      </w:p>
                      <w:p w:rsidR="004427FE" w:rsidRDefault="004427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אשרת עולה או תעודת עולה לפי חוק השבות, תש"י-1950 (להלן -</w:t>
                        </w:r>
                      </w:p>
                      <w:p w:rsidR="004427FE" w:rsidRDefault="004427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 - עולה), שנכותו נוצרה לפני היותו תושב ישראל, יהיה זכאי</w:t>
                        </w:r>
                      </w:p>
                      <w:p w:rsidR="004427FE" w:rsidRDefault="004427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לגימלה לפי פרק זה.</w:t>
                        </w:r>
                      </w:p>
                      <w:p w:rsidR="004427FE" w:rsidRDefault="004427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פרק זה יחולו על כל עולה בשינויים אלה:</w:t>
                        </w:r>
                      </w:p>
                      <w:p w:rsidR="004427FE" w:rsidRDefault="004427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ידון המוסד בתביעה לגימלה לפי פרק זה של</w:t>
                        </w:r>
                      </w:p>
                      <w:p w:rsidR="004427FE" w:rsidRDefault="004427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אלא אחרי תום עשרים ואחד חדשים מהיום שבו</w:t>
                        </w:r>
                      </w:p>
                      <w:p w:rsidR="004427FE" w:rsidRDefault="004427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נעשה עולה: הוראה זו באה להוסיף, לגבי עולה שנכותו</w:t>
                        </w:r>
                      </w:p>
                      <w:p w:rsidR="004427FE" w:rsidRDefault="004427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נוצרה בהיותו תושב ישראל, על הוראות סעיף 127כב(ב),</w:t>
                        </w:r>
                      </w:p>
                      <w:p w:rsidR="004427FE" w:rsidRDefault="004427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לגרוע מהן:</w:t>
                        </w:r>
                      </w:p>
                      <w:p w:rsidR="004427FE" w:rsidRDefault="004427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הזכות לגימלה לפי פרק זה של עולה תתחיל בתום</w:t>
                        </w:r>
                      </w:p>
                      <w:p w:rsidR="004427FE" w:rsidRDefault="004427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 מהיום שבו נעשה עולה: הוראה זו באה להוסיף,</w:t>
                        </w:r>
                      </w:p>
                      <w:p w:rsidR="004427FE" w:rsidRDefault="004427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עולה שנכותו נוצרה בהיותו תושב ישראל, על הור-</w:t>
                        </w:r>
                      </w:p>
                      <w:p w:rsidR="004427FE" w:rsidRDefault="004427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 סעיף 127כב(ג), ולא לגרוע מהן;</w:t>
                        </w:r>
                      </w:p>
                      <w:p w:rsidR="004427FE" w:rsidRDefault="004427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לשם הקביעה שצמצום בכושר ההשתכרות של עולה</w:t>
                        </w:r>
                      </w:p>
                      <w:p w:rsidR="004427FE" w:rsidRDefault="004427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 לאחר שהיה תושב ישראל, לענין הגדרת נכה שבסעיף</w:t>
                        </w:r>
                      </w:p>
                      <w:p w:rsidR="004427FE" w:rsidRDefault="004427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127כא, לא תובא בחשבון הכנסה שהיתה לו בהיותו</w:t>
                        </w:r>
                      </w:p>
                      <w:p w:rsidR="004427FE" w:rsidRDefault="004427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מחוץ לישראל:</w:t>
                        </w:r>
                      </w:p>
                      <w:p w:rsidR="004427FE" w:rsidRDefault="004427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על אף האמור בסעיף 127כג, עולה שנכותו נוצרה</w:t>
                        </w:r>
                      </w:p>
                      <w:p w:rsidR="004427FE" w:rsidRDefault="004427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היותו תושב ישראל לא יזדקק לתקופת אכשרה.</w:t>
                        </w:r>
                      </w:p>
                      <w:p w:rsidR="004427FE" w:rsidRDefault="004427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רשאי לקבוע בתקנות, באישור ועדת העבודה</w:t>
                        </w:r>
                      </w:p>
                      <w:p w:rsidR="004427FE" w:rsidRDefault="004427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והרווחה של הכנסת, הוראות בדבר ניכויים מקצבה של עולה לפי סעיף</w:t>
                        </w:r>
                      </w:p>
                      <w:p w:rsidR="004427FE" w:rsidRDefault="004427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127לט בשל קצבה המשתלמת לעולה לפי דיני חוץ."</w:t>
                        </w:r>
                      </w:p>
                    </w:tc>
                    <w:tc>
                      <w:tcPr>
                        <w:tcW w:w="855" w:type="pct"/>
                      </w:tcPr>
                      <w:p w:rsidR="004427FE" w:rsidRDefault="004427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"הוראות מיוחדות</w:t>
                        </w:r>
                      </w:p>
                      <w:p w:rsidR="004427FE" w:rsidRPr="00223733" w:rsidRDefault="004427F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לענין עולים</w:t>
                        </w:r>
                      </w:p>
                    </w:tc>
                  </w:tr>
                </w:tbl>
                <w:p w:rsidR="004427FE" w:rsidRDefault="004427F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11" o:spid="_x0000_s1028" type="#_x0000_t202" style="position:absolute;left:0;text-align:left;margin-left:180.65pt;margin-top:81.25pt;width:331.25pt;height:23.35pt;z-index:1;mso-position-horizontal-relative:page;mso-position-vertical-relative:page" stroked="f">
            <v:textbox style="mso-next-textbox:#_x0000_s3811" inset="0,0,0,0">
              <w:txbxContent>
                <w:p w:rsidR="004427FE" w:rsidRPr="00223733" w:rsidRDefault="004427FE">
                  <w:pPr>
                    <w:pStyle w:val="OCRStyle1"/>
                    <w:ind w:left="50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הביטוח הלאומי (תיקון מס' 32), תשל"ח-1978 *</w:t>
                  </w:r>
                </w:p>
              </w:txbxContent>
            </v:textbox>
            <w10:wrap anchorx="page" anchory="page"/>
          </v:shape>
        </w:pict>
      </w:r>
    </w:p>
    <w:p w:rsidR="004427FE" w:rsidRDefault="004427FE">
      <w:pPr>
        <w:rPr>
          <w:rtl/>
        </w:rPr>
      </w:pPr>
      <w:r>
        <w:rPr>
          <w:rtl/>
        </w:rPr>
        <w:br w:type="page"/>
      </w:r>
    </w:p>
    <w:p w:rsidR="004427FE" w:rsidRDefault="00000000">
      <w:pPr>
        <w:rPr>
          <w:rtl/>
        </w:rPr>
      </w:pPr>
      <w:r>
        <w:pict>
          <v:shape id="_x0000_s3812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812" inset="0,0,0,0">
              <w:txbxContent>
                <w:p w:rsidR="004427FE" w:rsidRDefault="004427FE">
                  <w:r>
                    <w:rPr>
                      <w:rtl/>
                    </w:rPr>
                    <w:t>142                                          ספר החוקים 897                 י"ז בסיוון התשל"ח 22.06.1978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3" o:spid="_x0000_s1030" type="#_x0000_t202" style="position:absolute;left:0;text-align:left;margin-left:92.25pt;margin-top:616.5pt;width:386.5pt;height:126.3pt;z-index:9;mso-position-horizontal-relative:page;mso-position-vertical-relative:page" stroked="f">
            <v:textbox style="mso-next-textbox:#_x0000_s3813" inset="0,0,0,0">
              <w:txbxContent>
                <w:p w:rsidR="004427FE" w:rsidRDefault="004427FE">
                  <w:pPr>
                    <w:pStyle w:val="OCRStyle2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2 ס"ח תש"י, עמ' 159. ,</w:t>
                  </w:r>
                </w:p>
                <w:p w:rsidR="004427FE" w:rsidRDefault="004427FE">
                  <w:pPr>
                    <w:pStyle w:val="OCRStyle2"/>
                    <w:ind w:left="29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תשל"ז, עמ' 150. .</w:t>
                  </w:r>
                </w:p>
                <w:p w:rsidR="004427FE" w:rsidRDefault="004427FE">
                  <w:pPr>
                    <w:pStyle w:val="OCRStyle2"/>
                    <w:ind w:left="29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תשל"ו, עמ' 268.</w:t>
                  </w:r>
                </w:p>
                <w:p w:rsidR="004427FE" w:rsidRPr="004427FE" w:rsidRDefault="004427FE">
                  <w:pPr>
                    <w:pStyle w:val="OCRStyle2"/>
                    <w:ind w:left="481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4" o:spid="_x0000_s1031" type="#_x0000_t202" style="position:absolute;left:0;text-align:left;margin-left:104.35pt;margin-top:511.95pt;width:113.25pt;height:36.25pt;z-index:8;mso-position-horizontal-relative:page;mso-position-vertical-relative:page" stroked="f">
            <v:textbox style="mso-next-textbox:#_x0000_s3814" inset="0,0,0,0">
              <w:txbxContent>
                <w:p w:rsidR="004427FE" w:rsidRDefault="004427FE">
                  <w:pPr>
                    <w:pStyle w:val="OCRStyle2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.ישראל כץ</w:t>
                  </w:r>
                </w:p>
                <w:p w:rsidR="004427FE" w:rsidRDefault="004427FE">
                  <w:pPr>
                    <w:pStyle w:val="OCRStyle2"/>
                    <w:ind w:left="194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5" o:spid="_x0000_s1032" type="#_x0000_t202" style="position:absolute;left:0;text-align:left;margin-left:239.95pt;margin-top:509.35pt;width:85.75pt;height:38pt;z-index:7;mso-position-horizontal-relative:page;mso-position-vertical-relative:page" stroked="f">
            <v:textbox style="mso-next-textbox:#_x0000_s3815" inset="0,0,0,0">
              <w:txbxContent>
                <w:p w:rsidR="004427FE" w:rsidRDefault="004427FE">
                  <w:pPr>
                    <w:pStyle w:val="OCRStyle2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4427FE" w:rsidRDefault="004427FE">
                  <w:pPr>
                    <w:pStyle w:val="OCRStyle2"/>
                    <w:ind w:left="2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6" o:spid="_x0000_s1033" type="#_x0000_t202" style="position:absolute;left:0;text-align:left;margin-left:390.45pt;margin-top:529.95pt;width:101.2pt;height:43.35pt;z-index:6;mso-position-horizontal-relative:page;mso-position-vertical-relative:page" stroked="f">
            <v:textbox style="mso-next-textbox:#_x0000_s3816" inset="0,0,0,0">
              <w:txbxContent>
                <w:p w:rsidR="004427FE" w:rsidRDefault="004427FE">
                  <w:pPr>
                    <w:pStyle w:val="OCRStyle2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יצחק בבון</w:t>
                  </w:r>
                </w:p>
                <w:p w:rsidR="004427FE" w:rsidRDefault="004427FE">
                  <w:pPr>
                    <w:pStyle w:val="OCRStyle2"/>
                    <w:ind w:left="32"/>
                  </w:pPr>
                  <w:r>
                    <w:rPr>
                      <w:rtl/>
                    </w:rPr>
                    <w:t xml:space="preserve">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7" o:spid="_x0000_s1034" type="#_x0000_t202" style="position:absolute;left:0;text-align:left;margin-left:88.7pt;margin-top:63.1pt;width:466.1pt;height:436.8pt;z-index:5;mso-position-horizontal-relative:page;mso-position-vertical-relative:page" stroked="f">
            <v:textbox style="mso-next-textbox:#_x0000_s381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54"/>
                    <w:gridCol w:w="1085"/>
                    <w:gridCol w:w="1336"/>
                  </w:tblGrid>
                  <w:tr w:rsidR="004427FE" w:rsidRPr="004427FE">
                    <w:trPr>
                      <w:jc w:val="right"/>
                    </w:trPr>
                    <w:tc>
                      <w:tcPr>
                        <w:tcW w:w="4212" w:type="pct"/>
                        <w:gridSpan w:val="2"/>
                      </w:tcPr>
                      <w:p w:rsidR="004427FE" w:rsidRPr="004427FE" w:rsidRDefault="004427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אחרי סעיף 142 לחוק העיקרי יבוא:</w:t>
                        </w:r>
                      </w:p>
                    </w:tc>
                    <w:tc>
                      <w:tcPr>
                        <w:tcW w:w="788" w:type="pct"/>
                      </w:tcPr>
                      <w:p w:rsidR="004427FE" w:rsidRPr="004427FE" w:rsidRDefault="004427F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142א</w:t>
                        </w:r>
                      </w:p>
                    </w:tc>
                  </w:tr>
                  <w:tr w:rsidR="004427FE">
                    <w:trPr>
                      <w:jc w:val="right"/>
                    </w:trPr>
                    <w:tc>
                      <w:tcPr>
                        <w:tcW w:w="3572" w:type="pct"/>
                      </w:tcPr>
                      <w:p w:rsidR="004427FE" w:rsidRDefault="004427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142א. מקום שבקבע בחוק זה כי זכות לגימלה תהיה לפי תנאים, כללים</w:t>
                        </w:r>
                      </w:p>
                      <w:p w:rsidR="004427FE" w:rsidRDefault="004427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מבחנים או כיוצא באלה, שייקבעו או נקבעו בתקנות, תהיה תחילתה של</w:t>
                        </w:r>
                      </w:p>
                      <w:p w:rsidR="004427FE" w:rsidRDefault="004427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ביום תחילתן של התקנות."</w:t>
                        </w:r>
                      </w:p>
                    </w:tc>
                    <w:tc>
                      <w:tcPr>
                        <w:tcW w:w="640" w:type="pct"/>
                      </w:tcPr>
                      <w:p w:rsidR="004427FE" w:rsidRPr="004427FE" w:rsidRDefault="004427F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"תחילת זכות</w:t>
                        </w:r>
                      </w:p>
                    </w:tc>
                    <w:tc>
                      <w:tcPr>
                        <w:tcW w:w="788" w:type="pct"/>
                      </w:tcPr>
                      <w:p w:rsidR="004427FE" w:rsidRDefault="004427F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4427FE" w:rsidRPr="004427FE">
                    <w:trPr>
                      <w:jc w:val="right"/>
                    </w:trPr>
                    <w:tc>
                      <w:tcPr>
                        <w:tcW w:w="4212" w:type="pct"/>
                        <w:gridSpan w:val="2"/>
                      </w:tcPr>
                      <w:p w:rsidR="004427FE" w:rsidRDefault="004427F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בסעיף 186 לחוק העיקרי, בפסקה (5), במקום פסקת משנה (ה) יבוא:</w:t>
                        </w:r>
                      </w:p>
                      <w:p w:rsidR="004427FE" w:rsidRPr="004427FE" w:rsidRDefault="004427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מבוטח שהוא תלמיד במוסד להשכלה;".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4427FE" w:rsidRPr="004427FE" w:rsidRDefault="004427F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186</w:t>
                        </w:r>
                      </w:p>
                    </w:tc>
                  </w:tr>
                  <w:tr w:rsidR="004427FE" w:rsidRPr="004427FE">
                    <w:trPr>
                      <w:jc w:val="right"/>
                    </w:trPr>
                    <w:tc>
                      <w:tcPr>
                        <w:tcW w:w="4212" w:type="pct"/>
                        <w:gridSpan w:val="2"/>
                      </w:tcPr>
                      <w:p w:rsidR="004427FE" w:rsidRPr="004427FE" w:rsidRDefault="004427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כלוח י' לחוק העיקרי, פרטים 7 עד 10 יסומנו 8 עד 11, לפי הסדר.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4427FE" w:rsidRPr="004427FE" w:rsidRDefault="004427F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לוח יי</w:t>
                        </w:r>
                      </w:p>
                    </w:tc>
                  </w:tr>
                  <w:tr w:rsidR="004427FE" w:rsidRPr="004427FE">
                    <w:trPr>
                      <w:jc w:val="right"/>
                    </w:trPr>
                    <w:tc>
                      <w:tcPr>
                        <w:tcW w:w="4212" w:type="pct"/>
                        <w:gridSpan w:val="2"/>
                      </w:tcPr>
                      <w:p w:rsidR="004427FE" w:rsidRDefault="004427F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11 לחוק הביטוח הלאומי (תיקון מס' 28), תשל"ז-1977 3,  במקום סעיפים</w:t>
                        </w:r>
                      </w:p>
                      <w:p w:rsidR="004427FE" w:rsidRDefault="004427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קטנים (ב) ו-(ג) יבוא:</w:t>
                        </w:r>
                      </w:p>
                      <w:p w:rsidR="004427FE" w:rsidRDefault="004427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תחילתם של יתר סעיפי חוק זה היא ביום ד' בניסן תשל"ט-</w:t>
                        </w:r>
                      </w:p>
                      <w:p w:rsidR="004427FE" w:rsidRPr="004427FE" w:rsidRDefault="004427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1979)."</w:t>
                        </w:r>
                      </w:p>
                    </w:tc>
                    <w:tc>
                      <w:tcPr>
                        <w:tcW w:w="788" w:type="pct"/>
                      </w:tcPr>
                      <w:p w:rsidR="004427FE" w:rsidRDefault="004427F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הביטוח</w:t>
                        </w:r>
                      </w:p>
                      <w:p w:rsidR="004427FE" w:rsidRDefault="004427F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הלאומי (תיקון</w:t>
                        </w:r>
                      </w:p>
                      <w:p w:rsidR="004427FE" w:rsidRPr="004427FE" w:rsidRDefault="004427F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 28)</w:t>
                        </w:r>
                      </w:p>
                    </w:tc>
                  </w:tr>
                  <w:tr w:rsidR="004427FE" w:rsidRPr="004427FE">
                    <w:trPr>
                      <w:jc w:val="right"/>
                    </w:trPr>
                    <w:tc>
                      <w:tcPr>
                        <w:tcW w:w="4212" w:type="pct"/>
                        <w:gridSpan w:val="2"/>
                      </w:tcPr>
                      <w:p w:rsidR="004427FE" w:rsidRDefault="004427F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תחילתו של סעיף 1 ביום תחילת חוק הביטוח הלאומי (תיקון מס' 22), תשל"ו-</w:t>
                        </w:r>
                      </w:p>
                      <w:p w:rsidR="004427FE" w:rsidRDefault="004427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1976  4, אולם אלמנה, ששולם לה מענק על בסיס שיעור הקצבה כאמור בסעיף 76 (5) לחוק</w:t>
                        </w:r>
                      </w:p>
                      <w:p w:rsidR="004427FE" w:rsidRDefault="004427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 עד ליום פרסומו של חוק זה, לא תחוייב להחזיר את ההפרש שבין שיעור המענק</w:t>
                        </w:r>
                      </w:p>
                      <w:p w:rsidR="004427FE" w:rsidRDefault="004427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שקיבלה לבין שיעור המענק המחושב על בסיס שיעור הקצבה כאמור בסעיף 76(1)</w:t>
                        </w:r>
                      </w:p>
                      <w:p w:rsidR="004427FE" w:rsidRDefault="004427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העיקרי.</w:t>
                        </w:r>
                      </w:p>
                      <w:p w:rsidR="004427FE" w:rsidRDefault="004427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2 ביום כ"ט באב תשל"ח (1 בספטמבר 1978).</w:t>
                        </w:r>
                      </w:p>
                      <w:p w:rsidR="004427FE" w:rsidRDefault="004427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תחילתם של סעיפים 3 ו-4 ביום ד' בניסן תשל"ט (1 באפריל 1979), והם</w:t>
                        </w:r>
                      </w:p>
                      <w:p w:rsidR="004427FE" w:rsidRDefault="004427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אף על מי שעלה לפני כן.</w:t>
                        </w:r>
                      </w:p>
                      <w:p w:rsidR="004427FE" w:rsidRDefault="004427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תחילתם של מעיפים 7 ו-8 כיום כ"ג באדר ב' תשל"ח (1 באפריל 1978),</w:t>
                        </w:r>
                      </w:p>
                      <w:p w:rsidR="004427FE" w:rsidRDefault="004427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שתחילתו של פרט 5 בלוח י' לחוק העיקרי תהא ביום ד' בניסן תשל"ט (1 באפריל</w:t>
                        </w:r>
                      </w:p>
                      <w:p w:rsidR="004427FE" w:rsidRPr="004427FE" w:rsidRDefault="004427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1979).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4427FE" w:rsidRPr="004427FE" w:rsidRDefault="004427F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 ותחולה</w:t>
                        </w:r>
                      </w:p>
                    </w:tc>
                  </w:tr>
                  <w:tr w:rsidR="004427FE" w:rsidRPr="004427FE">
                    <w:trPr>
                      <w:jc w:val="right"/>
                    </w:trPr>
                    <w:tc>
                      <w:tcPr>
                        <w:tcW w:w="4212" w:type="pct"/>
                        <w:gridSpan w:val="2"/>
                      </w:tcPr>
                      <w:p w:rsidR="004427FE" w:rsidRDefault="004427F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סעיף 142א לחוק העיקרי יחול אף על זכות לגימלה שנקבעה כאמור בו לפני פרסומו</w:t>
                        </w:r>
                      </w:p>
                      <w:p w:rsidR="004427FE" w:rsidRPr="004427FE" w:rsidRDefault="004427F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 ברשומות.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4427FE" w:rsidRPr="004427FE" w:rsidRDefault="004427F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4427FE" w:rsidRDefault="004427F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2373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373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CA29629-FA6E-4192-B898-05E826A69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2373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427F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2008-04-06T23:39:00Z</dcterms:created>
  <dcterms:modified xsi:type="dcterms:W3CDTF">2008-04-06T23:40:00Z</dcterms:modified>
</cp:coreProperties>
</file>