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61F1" w:rsidRDefault="002F61F1">
      <w:pPr>
        <w:rPr>
          <w:rtl/>
        </w:rPr>
      </w:pPr>
    </w:p>
    <w:p w:rsidR="002F61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20" inset="0,0,0,0">
              <w:txbxContent>
                <w:p w:rsidR="002F61F1" w:rsidRDefault="002F61F1">
                  <w:r>
                    <w:rPr>
                      <w:rtl/>
                    </w:rPr>
                    <w:t>145                                          ספר החוקים 285                  כ"ד בתמוז התשי"ט 30.07.1959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" o:spid="_x0000_s1026" type="#_x0000_t202" style="position:absolute;left:0;text-align:left;margin-left:154.2pt;margin-top:646.5pt;width:393.45pt;height:90.1pt;z-index:6;mso-position-horizontal-relative:page;mso-position-vertical-relative:page" stroked="f">
            <v:textbox style="mso-next-textbox:#_x0000_s4521" inset="0,0,0,0">
              <w:txbxContent>
                <w:p w:rsidR="002F61F1" w:rsidRDefault="002F61F1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תשי"ט (20 ביולי 1959); הצעת החוק ודברי הסבר נתפרסמו בה"ח 398, תשי"ט,</w:t>
                  </w:r>
                </w:p>
                <w:p w:rsidR="002F61F1" w:rsidRDefault="002F61F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עמ' 408.</w:t>
                  </w:r>
                </w:p>
                <w:p w:rsidR="002F61F1" w:rsidRPr="002F61F1" w:rsidRDefault="002F61F1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1 סייח 280, תשי"ט, עמ' 107; ס"ח 282' תשי"ט' עמ' 131,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" o:spid="_x0000_s1027" type="#_x0000_t202" style="position:absolute;left:0;text-align:left;margin-left:162.35pt;margin-top:527.7pt;width:122.95pt;height:38pt;z-index:5;mso-position-horizontal-relative:page;mso-position-vertical-relative:page" stroked="f">
            <v:textbox style="mso-next-textbox:#_x0000_s4522" inset="0,0,0,0">
              <w:txbxContent>
                <w:p w:rsidR="002F61F1" w:rsidRDefault="002F61F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2F61F1" w:rsidRDefault="002F61F1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" o:spid="_x0000_s1028" type="#_x0000_t202" style="position:absolute;left:0;text-align:left;margin-left:301.9pt;margin-top:528.7pt;width:95.65pt;height:37.05pt;z-index:4;mso-position-horizontal-relative:page;mso-position-vertical-relative:page" stroked="f">
            <v:textbox style="mso-next-textbox:#_x0000_s4523" inset="0,0,0,0">
              <w:txbxContent>
                <w:p w:rsidR="002F61F1" w:rsidRDefault="002F61F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F61F1" w:rsidRDefault="002F61F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4" o:spid="_x0000_s1029" type="#_x0000_t202" style="position:absolute;left:0;text-align:left;margin-left:452pt;margin-top:563.15pt;width:90.7pt;height:31.5pt;z-index:3;mso-position-horizontal-relative:page;mso-position-vertical-relative:page" stroked="f">
            <v:textbox style="mso-next-textbox:#_x0000_s4524" inset="0,0,0,0">
              <w:txbxContent>
                <w:p w:rsidR="002F61F1" w:rsidRDefault="002F61F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F61F1" w:rsidRDefault="002F61F1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" o:spid="_x0000_s1030" type="#_x0000_t202" style="position:absolute;left:0;text-align:left;margin-left:93.05pt;margin-top:368.55pt;width:461.35pt;height:151.85pt;z-index:2;mso-position-horizontal-relative:page;mso-position-vertical-relative:page" stroked="f">
            <v:textbox style="mso-next-textbox:#_x0000_s45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1"/>
                    <w:gridCol w:w="7186"/>
                  </w:tblGrid>
                  <w:tr w:rsidR="002F61F1" w:rsidRPr="002F61F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שר הפנים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הבחירות למועצות המקומיות רשאי שר הפנים' בצו' לקבוע הוראות כהוראות</w:t>
                        </w:r>
                      </w:p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בחוק הבחירות לעיריות (הוראות שעה)' תשי"ט-1949 1, לענין הבחירות לעיריות'</w:t>
                        </w:r>
                      </w:p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</w:tc>
                  </w:tr>
                  <w:tr w:rsidR="002F61F1" w:rsidRPr="002F61F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שר</w:t>
                        </w:r>
                      </w:p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לענין הערעורים לבית המשפט המחוזי הכרוכים בהכנת פנקסי הבוחרים לבחירות</w:t>
                        </w:r>
                      </w:p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למועצות המקומיות' רשאי שר המשפטים להתקין תקנות בכל אותם הענינים שהוא רשאי</w:t>
                        </w:r>
                      </w:p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להתקינן לענין הערעורים על פנקסי הבוחרים לבחירות לעיריות.</w:t>
                        </w:r>
                      </w:p>
                    </w:tc>
                  </w:tr>
                  <w:tr w:rsidR="002F61F1" w:rsidRPr="002F61F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צו או תקנה שנעשו לפני תחילת חוק זה ושהיו בתוקף אילו חוק זה עמד בתקפו אותה</w:t>
                        </w:r>
                      </w:p>
                      <w:p w:rsidR="002F61F1" w:rsidRPr="002F61F1" w:rsidRDefault="002F61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שעה' יראו אותם כאילו נעשו כדין.</w:t>
                        </w:r>
                      </w:p>
                    </w:tc>
                  </w:tr>
                </w:tbl>
                <w:p w:rsidR="002F61F1" w:rsidRDefault="002F61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6" o:spid="_x0000_s1031" type="#_x0000_t202" style="position:absolute;left:0;text-align:left;margin-left:170.65pt;margin-top:338.85pt;width:363.15pt;height:24.75pt;z-index:1;mso-position-horizontal-relative:page;mso-position-vertical-relative:page" stroked="f">
            <v:textbox style="mso-next-textbox:#_x0000_s4526" inset="0,0,0,0">
              <w:txbxContent>
                <w:p w:rsidR="002F61F1" w:rsidRPr="002F61F1" w:rsidRDefault="002F61F1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למועצות המקומיות (הוראות שעה),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F61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F0766E-1313-48C5-8166-9DA5BF75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61F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