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62BF" w:rsidRDefault="009662BF">
      <w:pPr>
        <w:rPr>
          <w:rtl/>
        </w:rPr>
      </w:pPr>
    </w:p>
    <w:p w:rsidR="009662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29" inset="0,0,0,0">
              <w:txbxContent>
                <w:p w:rsidR="009662BF" w:rsidRDefault="009662BF">
                  <w:r>
                    <w:rPr>
                      <w:rtl/>
                    </w:rPr>
                    <w:t>146                                          ספר החוקים 604                     ט"ו באב התש"ל 17.08.1970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" o:spid="_x0000_s1026" type="#_x0000_t202" style="position:absolute;left:0;text-align:left;margin-left:79.9pt;margin-top:599.25pt;width:381.35pt;height:148.1pt;z-index:6;mso-wrap-style:none;mso-position-horizontal-relative:page;mso-position-vertical-relative:page" stroked="f">
            <v:textbox style="mso-next-textbox:#_x0000_s4830" inset="0,0,0,0">
              <w:txbxContent>
                <w:p w:rsidR="009662BF" w:rsidRDefault="009662BF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תש"ל (12 באוגוסט 1970); הצעת החוק ודברי הסבר פורסמו בה"ח 883, תש''ל,</w:t>
                  </w:r>
                </w:p>
                <w:p w:rsidR="009662BF" w:rsidRDefault="009662B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226.</w:t>
                  </w:r>
                </w:p>
                <w:p w:rsidR="009662BF" w:rsidRPr="009662BF" w:rsidRDefault="009662B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ס''ח תשכ''ט, עמ' 103,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" o:spid="_x0000_s1027" type="#_x0000_t202" style="position:absolute;left:0;text-align:left;margin-left:92pt;margin-top:303.25pt;width:114.45pt;height:48.1pt;z-index:5;mso-wrap-style:none;mso-position-horizontal-relative:page;mso-position-vertical-relative:page" stroked="f">
            <v:textbox style="mso-next-textbox:#_x0000_s4831" inset="0,0,0,0">
              <w:txbxContent>
                <w:p w:rsidR="009662BF" w:rsidRDefault="009662B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662BF" w:rsidRDefault="009662BF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9662BF" w:rsidRDefault="009662B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" o:spid="_x0000_s1028" type="#_x0000_t202" style="position:absolute;left:0;text-align:left;margin-left:337.3pt;margin-top:342.85pt;width:131.65pt;height:39.6pt;z-index:4;mso-wrap-style:none;mso-position-horizontal-relative:page;mso-position-vertical-relative:page" stroked="f">
            <v:textbox style="mso-next-textbox:#_x0000_s4832" inset="0,0,0,0">
              <w:txbxContent>
                <w:p w:rsidR="009662BF" w:rsidRDefault="009662BF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662BF" w:rsidRDefault="009662BF">
                  <w:pPr>
                    <w:pStyle w:val="OCRStyle1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" o:spid="_x0000_s1029" type="#_x0000_t202" style="position:absolute;left:0;text-align:left;margin-left:223.65pt;margin-top:302.25pt;width:93.85pt;height:36.25pt;z-index:3;mso-wrap-style:none;mso-position-horizontal-relative:page;mso-position-vertical-relative:page" stroked="f">
            <v:textbox style="mso-next-textbox:#_x0000_s4833" inset="0,0,0,0">
              <w:txbxContent>
                <w:p w:rsidR="009662BF" w:rsidRDefault="009662B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662BF" w:rsidRDefault="009662BF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" o:spid="_x0000_s1030" type="#_x0000_t202" style="position:absolute;left:0;text-align:left;margin-left:75.75pt;margin-top:107.8pt;width:479.35pt;height:173.05pt;z-index:2;mso-wrap-style:none;mso-position-horizontal-relative:page;mso-position-vertical-relative:page" stroked="f">
            <v:textbox style="mso-next-textbox:#_x0000_s4834" inset="0,0,0,0">
              <w:txbxContent>
                <w:tbl>
                  <w:tblPr>
                    <w:tblW w:w="51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2"/>
                    <w:gridCol w:w="1302"/>
                    <w:gridCol w:w="1613"/>
                  </w:tblGrid>
                  <w:tr w:rsidR="009662BF" w:rsidRPr="009662BF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9662BF" w:rsidRP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במקום סעיף 147 לחוק הבחירות לכנסת [נוסח משולב], תשכ"ט-1969 1, יבוא:</w:t>
                        </w:r>
                      </w:p>
                    </w:tc>
                    <w:tc>
                      <w:tcPr>
                        <w:tcW w:w="925" w:type="pct"/>
                      </w:tcPr>
                      <w:p w:rsidR="009662BF" w:rsidRP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147</w:t>
                        </w:r>
                      </w:p>
                    </w:tc>
                  </w:tr>
                  <w:tr w:rsidR="009662BF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על אף האמור בחוק זה או בכל דין אחר, יכללו בפנקס הבוחרים -</w:t>
                        </w:r>
                      </w:p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 שמענם הרשום במרשם האוכלוסין נמצא בשטח המוחזק על ידי</w:t>
                        </w:r>
                      </w:p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לישראל; שר הפנים, לאחר התייעצות עם יושב ראש הועדה</w:t>
                        </w:r>
                      </w:p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יתן הוראות בכל ענין הנוגע לביצוע סעיף זה ובכל ענין אחר</w:t>
                        </w:r>
                      </w:p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להצבעתם של בוחרים כאמור; הוראות אלה יובאו לידיעת הנוגעים</w:t>
                        </w:r>
                      </w:p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בדרך ששר הפנים ימצא לנכון לאחר התייעצות עם יושב ראש</w:t>
                        </w:r>
                      </w:p>
                      <w:p w:rsidR="009662BF" w:rsidRP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המרכזית; הן אינן טעונות פרסום ברשומות."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9662BF" w:rsidRP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מיוחדות</w:t>
                        </w:r>
                      </w:p>
                    </w:tc>
                    <w:tc>
                      <w:tcPr>
                        <w:tcW w:w="925" w:type="pct"/>
                      </w:tcPr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662BF" w:rsidRPr="009662BF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פנקס הבוחרים שהיום הקובע שלו הוא יום א' בניסן תש"ל רואים אותו כפנקס שהוכן</w:t>
                        </w:r>
                      </w:p>
                      <w:p w:rsidR="009662BF" w:rsidRP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9662BF" w:rsidRPr="009662BF" w:rsidRDefault="00966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</w:tc>
                  </w:tr>
                </w:tbl>
                <w:p w:rsidR="009662BF" w:rsidRDefault="009662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5" o:spid="_x0000_s1031" type="#_x0000_t202" style="position:absolute;left:0;text-align:left;margin-left:130.8pt;margin-top:75.95pt;width:285.7pt;height:26.75pt;z-index:1;mso-wrap-style:none;mso-position-horizontal-relative:page;mso-position-vertical-relative:page" stroked="f">
            <v:textbox style="mso-next-textbox:#_x0000_s4835" inset="0,0,0,0">
              <w:txbxContent>
                <w:p w:rsidR="009662BF" w:rsidRPr="009662BF" w:rsidRDefault="009662BF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2),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62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D26314-660E-4711-B124-E4A43236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62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