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A70827" w:rsidRDefault="00A70827">
      <w:pPr>
        <w:rPr>
          <w:rtl/>
        </w:rPr>
      </w:pPr>
    </w:p>
    <w:p w:rsidR="00A70827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5052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5052" inset="0,0,0,0">
              <w:txbxContent>
                <w:p w:rsidR="00C02FF6" w:rsidRDefault="00C02FF6">
                  <w:r>
                    <w:rPr>
                      <w:rtl/>
                    </w:rPr>
                    <w:t>74                                           ספר החוקים 334                  ט"ז בניסן התשכ"א 02.04.1961</w:t>
                  </w:r>
                </w:p>
              </w:txbxContent>
            </v:textbox>
            <w10:wrap anchorx="page" anchory="page"/>
          </v:shape>
        </w:pict>
      </w:r>
      <w:r>
        <w:pict>
          <v:shape id="_x0000_s5053" o:spid="_x0000_s1026" type="#_x0000_t202" style="position:absolute;left:0;text-align:left;margin-left:78.55pt;margin-top:656.65pt;width:405.5pt;height:96.45pt;z-index:3;mso-position-horizontal-relative:page;mso-position-vertical-relative:page" stroked="f">
            <v:textbox style="mso-next-textbox:#_x0000_s5053" inset="0,0,0,0">
              <w:txbxContent>
                <w:p w:rsidR="00C02FF6" w:rsidRDefault="00C02FF6">
                  <w:pPr>
                    <w:pStyle w:val="OCRStyle1"/>
                    <w:ind w:left="392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י' בניסן תשכ"א (27 במרס 1961) ; הצעת החוק ודברי הסבר נתפרסמו בה"ח 450, תשכ"א,</w:t>
                  </w:r>
                </w:p>
                <w:p w:rsidR="00C02FF6" w:rsidRDefault="00C02FF6">
                  <w:pPr>
                    <w:pStyle w:val="OCRStyle1"/>
                    <w:ind w:left="515"/>
                    <w:rPr>
                      <w:rtl/>
                    </w:rPr>
                  </w:pPr>
                  <w:r>
                    <w:rPr>
                      <w:rtl/>
                    </w:rPr>
                    <w:t>עמ' 128.</w:t>
                  </w:r>
                </w:p>
                <w:p w:rsidR="00C02FF6" w:rsidRDefault="00C02FF6">
                  <w:pPr>
                    <w:pStyle w:val="OCRStyle1"/>
                    <w:ind w:left="389"/>
                    <w:rPr>
                      <w:rtl/>
                    </w:rPr>
                  </w:pPr>
                  <w:r>
                    <w:rPr>
                      <w:rtl/>
                    </w:rPr>
                    <w:t>1 ע"ר 1941, תוס' 1 מס' 1134, עמ' 85; ע"ר תש"ט, תוס' א' מס' 40, עמ' 90; ס"ח 150, תשי"ד. עמ' 89;</w:t>
                  </w:r>
                </w:p>
                <w:p w:rsidR="00C02FF6" w:rsidRDefault="00C02FF6">
                  <w:pPr>
                    <w:pStyle w:val="OCRStyle1"/>
                    <w:ind w:left="544"/>
                    <w:rPr>
                      <w:rtl/>
                    </w:rPr>
                  </w:pPr>
                  <w:r>
                    <w:rPr>
                      <w:rtl/>
                    </w:rPr>
                    <w:t>ס"ח 101, תשט"ז, עמ' .2</w:t>
                  </w:r>
                </w:p>
                <w:p w:rsidR="00C02FF6" w:rsidRPr="00A70827" w:rsidRDefault="00C02FF6">
                  <w:pPr>
                    <w:pStyle w:val="OCRStyle1"/>
                    <w:ind w:left="392"/>
                  </w:pPr>
                  <w:r>
                    <w:rPr>
                      <w:rtl/>
                    </w:rPr>
                    <w:t>2 ס "ח 164, תשי"ד, עמ' 102.</w:t>
                  </w:r>
                </w:p>
              </w:txbxContent>
            </v:textbox>
            <w10:wrap anchorx="page" anchory="page"/>
          </v:shape>
        </w:pict>
      </w:r>
      <w:r>
        <w:pict>
          <v:shape id="_x0000_s5054" o:spid="_x0000_s1027" type="#_x0000_t202" style="position:absolute;left:0;text-align:left;margin-left:84.7pt;margin-top:525.8pt;width:474.4pt;height:130.1pt;z-index:2;mso-position-horizontal-relative:page;mso-position-vertical-relative:page" stroked="f">
            <v:textbox style="mso-next-textbox:#_x0000_s5054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93"/>
                    <w:gridCol w:w="1430"/>
                  </w:tblGrid>
                  <w:tr w:rsidR="00C02FF6" w:rsidRPr="00A70827">
                    <w:trPr>
                      <w:jc w:val="right"/>
                    </w:trPr>
                    <w:tc>
                      <w:tcPr>
                        <w:tcW w:w="4171" w:type="pct"/>
                      </w:tcPr>
                      <w:p w:rsidR="00C02FF6" w:rsidRDefault="00C02FF6">
                        <w:pPr>
                          <w:pStyle w:val="OCRStyle1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1. בסעיף 12 לפקודת הבנקאות' 1941  1-</w:t>
                        </w:r>
                      </w:p>
                      <w:p w:rsidR="00C02FF6" w:rsidRDefault="00C02FF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במקום סעיף קטן (1) יבוא:</w:t>
                        </w:r>
                      </w:p>
                      <w:p w:rsidR="00C02FF6" w:rsidRDefault="00C02FF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"(1) מוסד בנקאי כמשמעותו בחוק בנק ישראל, תשי"ד-1954  2(להלן</w:t>
                        </w:r>
                      </w:p>
                      <w:p w:rsidR="00C02FF6" w:rsidRDefault="00C02FF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זה - מוסד בנקאי), ישלם ב-15 באפריל של כל שנה אגרה שנתית</w:t>
                        </w:r>
                      </w:p>
                      <w:p w:rsidR="00C02FF6" w:rsidRDefault="00C02FF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ואגרה נוספת בעד כל סניף שיש לו באותו יום; שיעורי האגרות ייקבעו</w:t>
                        </w:r>
                      </w:p>
                      <w:p w:rsidR="00C02FF6" w:rsidRDefault="00C02FF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בצו על ידי שר האוצר באישור ועדת הכספים של הכנסת."?</w:t>
                        </w:r>
                      </w:p>
                      <w:p w:rsidR="00C02FF6" w:rsidRDefault="00C02FF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(2) ובסעיף קטן (3), בכל מקום שמדובר ב"בנק" קרי "מוסד</w:t>
                        </w:r>
                      </w:p>
                      <w:p w:rsidR="00C02FF6" w:rsidRPr="00A70827" w:rsidRDefault="00C02FF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בנקאי" ;</w:t>
                        </w:r>
                      </w:p>
                    </w:tc>
                    <w:tc>
                      <w:tcPr>
                        <w:tcW w:w="829" w:type="pct"/>
                      </w:tcPr>
                      <w:p w:rsidR="00C02FF6" w:rsidRPr="00A70827" w:rsidRDefault="00C02FF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12</w:t>
                        </w:r>
                      </w:p>
                    </w:tc>
                  </w:tr>
                </w:tbl>
                <w:p w:rsidR="00C02FF6" w:rsidRDefault="00C02FF6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5055" o:spid="_x0000_s1028" type="#_x0000_t202" style="position:absolute;left:0;text-align:left;margin-left:140.75pt;margin-top:495.7pt;width:298.6pt;height:19pt;z-index:1;mso-position-horizontal-relative:page;mso-position-vertical-relative:page" stroked="f">
            <v:textbox style="mso-next-textbox:#_x0000_s5055" inset="0,0,0,0">
              <w:txbxContent>
                <w:p w:rsidR="00C02FF6" w:rsidRPr="00A70827" w:rsidRDefault="00C02FF6">
                  <w:pPr>
                    <w:pStyle w:val="OCRStyle1"/>
                    <w:ind w:left="259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לתיקון פקודת הבנקאות (מס' 4), תשכ"א-1961 *</w:t>
                  </w:r>
                </w:p>
              </w:txbxContent>
            </v:textbox>
            <w10:wrap anchorx="page" anchory="page"/>
          </v:shape>
        </w:pict>
      </w:r>
    </w:p>
    <w:p w:rsidR="00C02FF6" w:rsidRDefault="00C02FF6">
      <w:pPr>
        <w:rPr>
          <w:rtl/>
        </w:rPr>
      </w:pPr>
      <w:r>
        <w:rPr>
          <w:rtl/>
        </w:rPr>
        <w:br w:type="page"/>
      </w:r>
    </w:p>
    <w:p w:rsidR="00C02FF6" w:rsidRDefault="00000000">
      <w:pPr>
        <w:rPr>
          <w:rtl/>
        </w:rPr>
      </w:pPr>
      <w:r>
        <w:pict>
          <v:shape id="_x0000_s5056" o:spid="_x0000_s1029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5056" inset="0,0,0,0">
              <w:txbxContent>
                <w:p w:rsidR="00C02FF6" w:rsidRDefault="00C02FF6">
                  <w:r>
                    <w:rPr>
                      <w:rtl/>
                    </w:rPr>
                    <w:t>75                                           ספר החוקים 334                  ט"ז בניסן התשכ"א 02.04.1961</w:t>
                  </w:r>
                </w:p>
              </w:txbxContent>
            </v:textbox>
            <w10:wrap anchorx="page" anchory="page"/>
          </v:shape>
        </w:pict>
      </w:r>
      <w:r>
        <w:pict>
          <v:shape id="_x0000_s5057" o:spid="_x0000_s1030" type="#_x0000_t202" style="position:absolute;left:0;text-align:left;margin-left:419.6pt;margin-top:245.05pt;width:139.6pt;height:31.1pt;z-index:9;mso-position-horizontal-relative:page;mso-position-vertical-relative:page" stroked="f">
            <v:textbox style="mso-next-textbox:#_x0000_s5057" inset="0,0,0,0">
              <w:txbxContent>
                <w:p w:rsidR="00C02FF6" w:rsidRPr="00C02FF6" w:rsidRDefault="00C02FF6">
                  <w:pPr>
                    <w:pStyle w:val="OCRStyle2"/>
                    <w:ind w:left="673"/>
                  </w:pPr>
                  <w:r>
                    <w:rPr>
                      <w:rtl/>
                    </w:rPr>
                    <w:t>3. ס"ח 183. תשט"ו, עמ' 80.</w:t>
                  </w:r>
                </w:p>
              </w:txbxContent>
            </v:textbox>
            <w10:wrap anchorx="page" anchory="page"/>
          </v:shape>
        </w:pict>
      </w:r>
      <w:r>
        <w:pict>
          <v:shape id="_x0000_s5058" o:spid="_x0000_s1031" type="#_x0000_t202" style="position:absolute;left:0;text-align:left;margin-left:168.35pt;margin-top:175.35pt;width:99pt;height:26.75pt;z-index:8;mso-position-horizontal-relative:page;mso-position-vertical-relative:page" stroked="f">
            <v:textbox style="mso-next-textbox:#_x0000_s5058" inset="0,0,0,0">
              <w:txbxContent>
                <w:p w:rsidR="00C02FF6" w:rsidRDefault="00C02FF6">
                  <w:pPr>
                    <w:pStyle w:val="OCRStyle2"/>
                    <w:ind w:left="396"/>
                    <w:rPr>
                      <w:rtl/>
                    </w:rPr>
                  </w:pPr>
                  <w:r>
                    <w:rPr>
                      <w:rtl/>
                    </w:rPr>
                    <w:t>לוי אשכול</w:t>
                  </w:r>
                </w:p>
                <w:p w:rsidR="00C02FF6" w:rsidRDefault="00C02FF6">
                  <w:pPr>
                    <w:pStyle w:val="OCRStyle2"/>
                    <w:ind w:left="529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5059" o:spid="_x0000_s1032" type="#_x0000_t202" style="position:absolute;left:0;text-align:left;margin-left:294.85pt;margin-top:174.55pt;width:106.7pt;height:31.7pt;z-index:7;mso-position-horizontal-relative:page;mso-position-vertical-relative:page" stroked="f">
            <v:textbox style="mso-next-textbox:#_x0000_s5059" inset="0,0,0,0">
              <w:txbxContent>
                <w:p w:rsidR="00C02FF6" w:rsidRDefault="00C02FF6">
                  <w:pPr>
                    <w:pStyle w:val="OCRStyle2"/>
                    <w:ind w:left="238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C02FF6" w:rsidRDefault="00C02FF6">
                  <w:pPr>
                    <w:pStyle w:val="OCRStyle2"/>
                    <w:ind w:left="500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5060" o:spid="_x0000_s1033" type="#_x0000_t202" style="position:absolute;left:0;text-align:left;margin-left:423.15pt;margin-top:202.05pt;width:101.55pt;height:34.45pt;z-index:6;mso-position-horizontal-relative:page;mso-position-vertical-relative:page" stroked="f">
            <v:textbox style="mso-next-textbox:#_x0000_s5060" inset="0,0,0,0">
              <w:txbxContent>
                <w:p w:rsidR="00C02FF6" w:rsidRDefault="00C02FF6">
                  <w:pPr>
                    <w:pStyle w:val="OCRStyle2"/>
                    <w:ind w:left="230"/>
                    <w:rPr>
                      <w:rtl/>
                    </w:rPr>
                  </w:pPr>
                  <w:r>
                    <w:rPr>
                      <w:rtl/>
                    </w:rPr>
                    <w:t>יצחק בן-צבי</w:t>
                  </w:r>
                </w:p>
                <w:p w:rsidR="00C02FF6" w:rsidRDefault="00C02FF6">
                  <w:pPr>
                    <w:pStyle w:val="OCRStyle2"/>
                    <w:ind w:left="425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5061" o:spid="_x0000_s1034" type="#_x0000_t202" style="position:absolute;left:0;text-align:left;margin-left:112.3pt;margin-top:73.75pt;width:429.65pt;height:94.65pt;z-index:5;mso-position-horizontal-relative:page;mso-position-vertical-relative:page" stroked="f">
            <v:textbox style="mso-next-textbox:#_x0000_s5061" inset="0,0,0,0">
              <w:txbxContent>
                <w:tbl>
                  <w:tblPr>
                    <w:tblW w:w="442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2"/>
                    <w:gridCol w:w="7111"/>
                  </w:tblGrid>
                  <w:tr w:rsidR="00C02FF6">
                    <w:trPr>
                      <w:jc w:val="right"/>
                    </w:trPr>
                    <w:tc>
                      <w:tcPr>
                        <w:tcW w:w="449" w:type="pct"/>
                      </w:tcPr>
                      <w:p w:rsidR="00C02FF6" w:rsidRDefault="00C02FF6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551" w:type="pct"/>
                      </w:tcPr>
                      <w:p w:rsidR="00C02FF6" w:rsidRDefault="00C02FF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אחרי סעיף קטן (3) יבוא:</w:t>
                        </w:r>
                      </w:p>
                      <w:p w:rsidR="00C02FF6" w:rsidRDefault="00C02FF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"(4) שר האוצר רשאי לקבוע בתקנות הוראות בדבר הצהרות ודינים</w:t>
                        </w:r>
                      </w:p>
                      <w:p w:rsidR="00C02FF6" w:rsidRDefault="00C02FF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וחשבונות שמוסד בנקאי חייב להגיש ובדבר סדרי תשלום האגרה."</w:t>
                        </w:r>
                      </w:p>
                    </w:tc>
                  </w:tr>
                  <w:tr w:rsidR="00C02FF6" w:rsidRPr="00C02FF6">
                    <w:trPr>
                      <w:jc w:val="right"/>
                    </w:trPr>
                    <w:tc>
                      <w:tcPr>
                        <w:tcW w:w="449" w:type="pct"/>
                      </w:tcPr>
                      <w:p w:rsidR="00C02FF6" w:rsidRPr="00C02FF6" w:rsidRDefault="00C02FF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ביטול</w:t>
                        </w:r>
                      </w:p>
                    </w:tc>
                    <w:tc>
                      <w:tcPr>
                        <w:tcW w:w="4551" w:type="pct"/>
                      </w:tcPr>
                      <w:p w:rsidR="00C02FF6" w:rsidRPr="00C02FF6" w:rsidRDefault="00C02FF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2* חוק האגרות (אגודות שיתופיות לאשראי), תשט"ו -1955  3-בטל.</w:t>
                        </w:r>
                      </w:p>
                    </w:tc>
                  </w:tr>
                </w:tbl>
                <w:p w:rsidR="00C02FF6" w:rsidRDefault="00C02FF6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A70827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70827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79096D5E-9D1B-4E5A-A814-FFCFAEA621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A70827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C02FF6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14</Characters>
  <Application>Microsoft Office Word</Application>
  <DocSecurity>4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3</cp:revision>
  <dcterms:created xsi:type="dcterms:W3CDTF">2008-04-06T19:41:00Z</dcterms:created>
  <dcterms:modified xsi:type="dcterms:W3CDTF">2008-04-06T19:41:00Z</dcterms:modified>
</cp:coreProperties>
</file>