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061AA" w:rsidRDefault="001061AA">
      <w:pPr>
        <w:rPr>
          <w:rtl/>
        </w:rPr>
      </w:pPr>
    </w:p>
    <w:p w:rsidR="001061A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07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079" inset="0,0,0,0">
              <w:txbxContent>
                <w:p w:rsidR="00BE1AD8" w:rsidRDefault="00BE1AD8">
                  <w:r>
                    <w:rPr>
                      <w:rtl/>
                    </w:rPr>
                    <w:t>50                                           ספר החוקים 444                   י"ח בשבט התשכ"ה 21.01.1965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5080" o:spid="_x0000_s1026" type="#_x0000_t202" style="position:absolute;left:0;text-align:left;margin-left:82.15pt;margin-top:655.4pt;width:382.35pt;height:92.25pt;z-index:3;mso-position-horizontal-relative:page;mso-position-vertical-relative:page" stroked="f">
            <v:textbox style="mso-next-textbox:#_x0000_s5080" inset="0,0,0,0">
              <w:txbxContent>
                <w:p w:rsidR="00BE1AD8" w:rsidRDefault="00BE1AD8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בשבט תשכ"ח (11 בינואר 1965); הצעת החוק ודברי הסבר פורסמו בה"ח 613, תשכ"ד,</w:t>
                  </w:r>
                </w:p>
                <w:p w:rsidR="00BE1AD8" w:rsidRDefault="00BE1AD8">
                  <w:pPr>
                    <w:pStyle w:val="OCRStyle1"/>
                    <w:ind w:left="33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214.</w:t>
                  </w:r>
                </w:p>
                <w:p w:rsidR="00BE1AD8" w:rsidRDefault="00BE1AD8">
                  <w:pPr>
                    <w:pStyle w:val="OCRStyle1"/>
                    <w:ind w:left="22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ע''ר 1941, תוס' 1 מס' 1134, עמ' 69; ע"ר תש"ט, תוס אי, עמי 90; ס"ח תשי''י, עמ' 88; תשט"ז, עמי 2;</w:t>
                  </w:r>
                </w:p>
                <w:p w:rsidR="00BE1AD8" w:rsidRPr="001061AA" w:rsidRDefault="00BE1AD8">
                  <w:pPr>
                    <w:pStyle w:val="OCRStyle1"/>
                    <w:ind w:left="33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תשכ''א, עמ' 74, עמ' 114, עמ' .172</w:t>
                  </w:r>
                </w:p>
              </w:txbxContent>
            </v:textbox>
            <w10:wrap anchorx="page" anchory="page"/>
          </v:shape>
        </w:pict>
      </w:r>
      <w:r>
        <w:pict>
          <v:shape id="_x0000_s5081" o:spid="_x0000_s1027" type="#_x0000_t202" style="position:absolute;left:0;text-align:left;margin-left:84.75pt;margin-top:106.75pt;width:466.7pt;height:537.55pt;z-index:2;mso-position-horizontal-relative:page;mso-position-vertical-relative:page" stroked="f">
            <v:textbox style="mso-next-textbox:#_x0000_s5081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46"/>
                    <w:gridCol w:w="1464"/>
                    <w:gridCol w:w="1374"/>
                  </w:tblGrid>
                  <w:tr w:rsidR="00BE1AD8" w:rsidRPr="001061AA">
                    <w:trPr>
                      <w:jc w:val="right"/>
                    </w:trPr>
                    <w:tc>
                      <w:tcPr>
                        <w:tcW w:w="4190" w:type="pct"/>
                        <w:gridSpan w:val="2"/>
                      </w:tcPr>
                      <w:p w:rsidR="00BE1AD8" w:rsidRDefault="00BE1AD8">
                        <w:pPr>
                          <w:pStyle w:val="OCRStyle1"/>
                          <w:rPr>
                            <w:sz w:val="30"/>
                            <w:szCs w:val="30"/>
                            <w:rtl/>
                          </w:rPr>
                        </w:pPr>
                        <w:r>
                          <w:rPr>
                            <w:sz w:val="30"/>
                            <w:szCs w:val="30"/>
                            <w:rtl/>
                          </w:rPr>
                          <w:t>1, בסעיף 2 לפקודת הבנקאות, 1941 1 (להלן - הפקודה), אחרי הגדרת "חברה" יבוא;</w:t>
                        </w:r>
                      </w:p>
                      <w:p w:rsidR="00BE1AD8" w:rsidRPr="001061AA" w:rsidRDefault="00BE1A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""הועדה" - הועדה המייעצת שנתמנתה לפי סעיף 6;".</w:t>
                        </w:r>
                      </w:p>
                    </w:tc>
                    <w:tc>
                      <w:tcPr>
                        <w:tcW w:w="810" w:type="pct"/>
                      </w:tcPr>
                      <w:p w:rsidR="00BE1AD8" w:rsidRPr="001061AA" w:rsidRDefault="00BE1AD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BE1AD8" w:rsidRPr="001061AA">
                    <w:trPr>
                      <w:jc w:val="right"/>
                    </w:trPr>
                    <w:tc>
                      <w:tcPr>
                        <w:tcW w:w="4190" w:type="pct"/>
                        <w:gridSpan w:val="2"/>
                      </w:tcPr>
                      <w:p w:rsidR="00BE1AD8" w:rsidRPr="001061AA" w:rsidRDefault="00BE1A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בסעיף 9 לפקודה, בכל מקום שמדובר ב"מזכיר הכספים" קרי "המפקח על הבנקים".</w:t>
                        </w:r>
                      </w:p>
                    </w:tc>
                    <w:tc>
                      <w:tcPr>
                        <w:tcW w:w="810" w:type="pct"/>
                      </w:tcPr>
                      <w:p w:rsidR="00BE1AD8" w:rsidRPr="001061AA" w:rsidRDefault="00BE1AD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</w:t>
                        </w:r>
                      </w:p>
                    </w:tc>
                  </w:tr>
                  <w:tr w:rsidR="00BE1AD8" w:rsidRPr="001061AA">
                    <w:trPr>
                      <w:jc w:val="right"/>
                    </w:trPr>
                    <w:tc>
                      <w:tcPr>
                        <w:tcW w:w="4190" w:type="pct"/>
                        <w:gridSpan w:val="2"/>
                      </w:tcPr>
                      <w:p w:rsidR="00BE1AD8" w:rsidRDefault="00BE1AD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10 לפקודה, סעיף קטן (2) יסומן (3), ואחרי סעיף קטן (0 יבוא:</w:t>
                        </w:r>
                      </w:p>
                      <w:p w:rsidR="00BE1AD8" w:rsidRDefault="00BE1A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המפקח על הבנקים רשאי, אחת לשנה, לדרוש בכתב</w:t>
                        </w:r>
                      </w:p>
                      <w:p w:rsidR="00BE1AD8" w:rsidRDefault="00BE1A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מכל בנק לערוך, להציג ולפרסם, תוך הזמן שנקבע בדרישה,</w:t>
                        </w:r>
                      </w:p>
                      <w:p w:rsidR="00BE1AD8" w:rsidRDefault="00BE1A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וחשבון על נכסיו והתחייבויותיו לתאריך שנקבע בדרישה;</w:t>
                        </w:r>
                      </w:p>
                      <w:p w:rsidR="00BE1AD8" w:rsidRDefault="00BE1A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וחשבון יכלול מאזן השוואתי של נכסי הבנק והתחייבו-</w:t>
                        </w:r>
                      </w:p>
                      <w:p w:rsidR="00BE1AD8" w:rsidRDefault="00BE1A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יותיו בתאריך האמור עם נכסיו והתחייבויותיו שפורטו</w:t>
                        </w:r>
                      </w:p>
                      <w:p w:rsidR="00BE1AD8" w:rsidRDefault="00BE1A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במאזן המבוקר האחרון של הבנק ובדרך שבה נערך המאזן</w:t>
                        </w:r>
                      </w:p>
                      <w:p w:rsidR="00BE1AD8" w:rsidRPr="001061AA" w:rsidRDefault="00BE1A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המבוקר."</w:t>
                        </w:r>
                      </w:p>
                    </w:tc>
                    <w:tc>
                      <w:tcPr>
                        <w:tcW w:w="810" w:type="pct"/>
                      </w:tcPr>
                      <w:p w:rsidR="00BE1AD8" w:rsidRPr="001061AA" w:rsidRDefault="00BE1AD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10</w:t>
                        </w:r>
                      </w:p>
                    </w:tc>
                  </w:tr>
                  <w:tr w:rsidR="00BE1AD8" w:rsidRPr="001061AA">
                    <w:trPr>
                      <w:jc w:val="right"/>
                    </w:trPr>
                    <w:tc>
                      <w:tcPr>
                        <w:tcW w:w="4190" w:type="pct"/>
                        <w:gridSpan w:val="2"/>
                      </w:tcPr>
                      <w:p w:rsidR="00BE1AD8" w:rsidRPr="001061AA" w:rsidRDefault="00BE1A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אחרי סעיף 14 לפקודה יבוא:</w:t>
                        </w:r>
                      </w:p>
                    </w:tc>
                    <w:tc>
                      <w:tcPr>
                        <w:tcW w:w="810" w:type="pct"/>
                      </w:tcPr>
                      <w:p w:rsidR="00BE1AD8" w:rsidRPr="001061AA" w:rsidRDefault="00BE1AD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14א</w:t>
                        </w:r>
                      </w:p>
                    </w:tc>
                  </w:tr>
                  <w:tr w:rsidR="00BE1AD8">
                    <w:trPr>
                      <w:jc w:val="right"/>
                    </w:trPr>
                    <w:tc>
                      <w:tcPr>
                        <w:tcW w:w="3327" w:type="pct"/>
                      </w:tcPr>
                      <w:p w:rsidR="00BE1AD8" w:rsidRDefault="00BE1A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14א. (א) היתה הממשלה סבורה שהדבר דרוש לשם שמירה על יציבות</w:t>
                        </w:r>
                      </w:p>
                      <w:p w:rsidR="00BE1AD8" w:rsidRDefault="00BE1A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הבנקים, רשאית היא, לאחר התייעצות עם הועדה, לקבוע בצו שיעורים</w:t>
                        </w:r>
                      </w:p>
                      <w:p w:rsidR="00BE1AD8" w:rsidRDefault="00BE1A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יחסיים שבנקים חייבים לקיים אותם - החל מהמועד שנקבע בצו -</w:t>
                        </w:r>
                      </w:p>
                      <w:p w:rsidR="00BE1AD8" w:rsidRDefault="00BE1A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בפריטים, או בסוגים של פריטים, שבפסקאות (1) עד (5) וכהגדרתם בצו,</w:t>
                        </w:r>
                      </w:p>
                      <w:p w:rsidR="00BE1AD8" w:rsidRDefault="00BE1A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לעומת פריטים, או סוגים של פריטים, שבפסקאות (6) עד (9) וכהגדרתם</w:t>
                        </w:r>
                      </w:p>
                      <w:p w:rsidR="00BE1AD8" w:rsidRDefault="00BE1A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כצו; ואלה הפריטים:</w:t>
                        </w:r>
                      </w:p>
                      <w:p w:rsidR="00BE1AD8" w:rsidRDefault="00BE1A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ערבויות שערב להבטחת אשראי;</w:t>
                        </w:r>
                      </w:p>
                      <w:p w:rsidR="00BE1AD8" w:rsidRDefault="00BE1A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ערבויות שערב שלא להבטחת אשראי;</w:t>
                        </w:r>
                      </w:p>
                      <w:p w:rsidR="00BE1AD8" w:rsidRDefault="00BE1A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התחייבויות שנתן לרגל אשראי תעודות;</w:t>
                        </w:r>
                      </w:p>
                      <w:p w:rsidR="00BE1AD8" w:rsidRDefault="00BE1A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התחייבויות שנתן לרגל קיכולים, הסבים ונכיון משנה;</w:t>
                        </w:r>
                      </w:p>
                      <w:p w:rsidR="00BE1AD8" w:rsidRDefault="00BE1A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התחייבויות תלויות שאינן מפורשות בפסקאות (0</w:t>
                        </w:r>
                      </w:p>
                      <w:p w:rsidR="00BE1AD8" w:rsidRDefault="00BE1A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(4);</w:t>
                        </w:r>
                      </w:p>
                      <w:p w:rsidR="00BE1AD8" w:rsidRDefault="00BE1A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פקדונות המופקדים אצלו;</w:t>
                        </w:r>
                      </w:p>
                      <w:p w:rsidR="00BE1AD8" w:rsidRDefault="00BE1A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הלוואות שקיבל;</w:t>
                        </w:r>
                      </w:p>
                      <w:p w:rsidR="00BE1AD8" w:rsidRDefault="00BE1A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הון נפרע, קרנות הון וקרנות שמורות, לרבות יתרת</w:t>
                        </w:r>
                      </w:p>
                      <w:p w:rsidR="00BE1AD8" w:rsidRDefault="00BE1A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רווחים נקיים שלא חולקו;</w:t>
                        </w:r>
                      </w:p>
                      <w:p w:rsidR="00BE1AD8" w:rsidRDefault="00BE1A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נכסים, לרבות חובות המגיעים לו.</w:t>
                        </w:r>
                      </w:p>
                      <w:p w:rsidR="00BE1AD8" w:rsidRDefault="00BE1A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בנק שהפר הוראה שנקבעה כצו לפי סעיף קטן (א), יהא חייב</w:t>
                        </w:r>
                      </w:p>
                      <w:p w:rsidR="00BE1AD8" w:rsidRDefault="00BE1A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לשלם לבנק ישראל, לכל יום שבו נמשכת ההפרה, אחוז מסויים של</w:t>
                        </w:r>
                      </w:p>
                      <w:p w:rsidR="00BE1AD8" w:rsidRDefault="00BE1A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הסכום שבו עלו הערבויות או ההתחייבויות על השיעור שנקבע בצו;</w:t>
                        </w:r>
                      </w:p>
                    </w:tc>
                    <w:tc>
                      <w:tcPr>
                        <w:tcW w:w="863" w:type="pct"/>
                      </w:tcPr>
                      <w:p w:rsidR="00BE1AD8" w:rsidRDefault="00BE1A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"יחס בין פריטים</w:t>
                        </w:r>
                      </w:p>
                      <w:p w:rsidR="00BE1AD8" w:rsidRPr="001061AA" w:rsidRDefault="00BE1AD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שונים</w:t>
                        </w:r>
                      </w:p>
                    </w:tc>
                    <w:tc>
                      <w:tcPr>
                        <w:tcW w:w="810" w:type="pct"/>
                      </w:tcPr>
                      <w:p w:rsidR="00BE1AD8" w:rsidRDefault="00BE1AD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E1AD8" w:rsidRDefault="00BE1AD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082" o:spid="_x0000_s1028" type="#_x0000_t202" style="position:absolute;left:0;text-align:left;margin-left:130.65pt;margin-top:78.4pt;width:291.85pt;height:24.75pt;z-index:1;mso-position-horizontal-relative:page;mso-position-vertical-relative:page" stroked="f">
            <v:textbox style="mso-next-textbox:#_x0000_s5082" inset="0,0,0,0">
              <w:txbxContent>
                <w:p w:rsidR="00BE1AD8" w:rsidRPr="001061AA" w:rsidRDefault="00BE1AD8">
                  <w:pPr>
                    <w:pStyle w:val="OCRStyle1"/>
                    <w:ind w:left="108"/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  <w:rtl/>
                    </w:rPr>
                    <w:t>חוק לתיקון פקודת הבנקאות (מס' 7), תשכ"ה-1965 *</w:t>
                  </w:r>
                </w:p>
              </w:txbxContent>
            </v:textbox>
            <w10:wrap anchorx="page" anchory="page"/>
          </v:shape>
        </w:pict>
      </w:r>
    </w:p>
    <w:p w:rsidR="00BE1AD8" w:rsidRDefault="00BE1AD8">
      <w:pPr>
        <w:rPr>
          <w:rtl/>
        </w:rPr>
      </w:pPr>
      <w:r>
        <w:rPr>
          <w:rtl/>
        </w:rPr>
        <w:br w:type="page"/>
      </w:r>
    </w:p>
    <w:p w:rsidR="00BE1AD8" w:rsidRDefault="00000000">
      <w:pPr>
        <w:rPr>
          <w:rtl/>
        </w:rPr>
      </w:pPr>
      <w:r>
        <w:pict>
          <v:shape id="_x0000_s5083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5083" inset="0,0,0,0">
              <w:txbxContent>
                <w:p w:rsidR="00BE1AD8" w:rsidRDefault="00BE1AD8">
                  <w:r>
                    <w:rPr>
                      <w:rtl/>
                    </w:rPr>
                    <w:t>51                                           ספר החוקים 444                   י"ח בשבט התשכ"ה 21.01.1965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5084" o:spid="_x0000_s1030" type="#_x0000_t202" style="position:absolute;left:0;text-align:left;margin-left:177.7pt;margin-top:282.15pt;width:110.9pt;height:52.85pt;z-index:8;mso-position-horizontal-relative:page;mso-position-vertical-relative:page" stroked="f">
            <v:textbox style="mso-next-textbox:#_x0000_s5084" inset="0,0,0,0">
              <w:txbxContent>
                <w:p w:rsidR="00BE1AD8" w:rsidRDefault="00BE1AD8">
                  <w:pPr>
                    <w:pStyle w:val="OCRStyle2"/>
                    <w:ind w:left="565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BE1AD8" w:rsidRDefault="00BE1AD8">
                  <w:pPr>
                    <w:pStyle w:val="OCRStyle2"/>
                    <w:ind w:left="619"/>
                    <w:rPr>
                      <w:rtl/>
                    </w:rPr>
                  </w:pPr>
                  <w:r>
                    <w:rPr>
                      <w:rtl/>
                    </w:rPr>
                    <w:t>ראש הממשלה</w:t>
                  </w:r>
                </w:p>
                <w:p w:rsidR="00BE1AD8" w:rsidRDefault="00BE1AD8">
                  <w:pPr>
                    <w:pStyle w:val="OCRStyle2"/>
                    <w:ind w:left="227"/>
                  </w:pPr>
                  <w:r>
                    <w:rPr>
                      <w:rtl/>
                    </w:rPr>
                    <w:t>ממלא מקום 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5085" o:spid="_x0000_s1031" type="#_x0000_t202" style="position:absolute;left:0;text-align:left;margin-left:320.25pt;margin-top:284.75pt;width:93.85pt;height:40.8pt;z-index:7;mso-position-horizontal-relative:page;mso-position-vertical-relative:page" stroked="f">
            <v:textbox style="mso-next-textbox:#_x0000_s5085" inset="0,0,0,0">
              <w:txbxContent>
                <w:p w:rsidR="00BE1AD8" w:rsidRDefault="00BE1AD8">
                  <w:pPr>
                    <w:pStyle w:val="OCRStyle2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BE1AD8" w:rsidRDefault="00BE1AD8">
                  <w:pPr>
                    <w:pStyle w:val="OCRStyle2"/>
                    <w:ind w:left="37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86" o:spid="_x0000_s1032" type="#_x0000_t202" style="position:absolute;left:0;text-align:left;margin-left:427.75pt;margin-top:316.2pt;width:121.2pt;height:37.6pt;z-index:6;mso-position-horizontal-relative:page;mso-position-vertical-relative:page" stroked="f">
            <v:textbox style="mso-next-textbox:#_x0000_s5086" inset="0,0,0,0">
              <w:txbxContent>
                <w:p w:rsidR="00BE1AD8" w:rsidRDefault="00BE1AD8">
                  <w:pPr>
                    <w:pStyle w:val="OCRStyle2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BE1AD8" w:rsidRDefault="00BE1AD8">
                  <w:pPr>
                    <w:pStyle w:val="OCRStyle2"/>
                    <w:ind w:left="61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87" o:spid="_x0000_s1033" type="#_x0000_t202" style="position:absolute;left:0;text-align:left;margin-left:152.15pt;margin-top:84.95pt;width:352.45pt;height:191.05pt;z-index:5;mso-position-horizontal-relative:page;mso-position-vertical-relative:page" stroked="f">
            <v:textbox style="mso-next-textbox:#_x0000_s5087" inset="0,0,0,0">
              <w:txbxContent>
                <w:p w:rsidR="00BE1AD8" w:rsidRDefault="00BE1AD8">
                  <w:pPr>
                    <w:pStyle w:val="OCRStyle2"/>
                    <w:ind w:left="662"/>
                    <w:rPr>
                      <w:rtl/>
                    </w:rPr>
                  </w:pPr>
                  <w:r>
                    <w:rPr>
                      <w:rtl/>
                    </w:rPr>
                    <w:t>האחוז ייקבע על-ידי הממשלה בצו, לאחר התייעצות עם הועדה ולא</w:t>
                  </w:r>
                </w:p>
                <w:p w:rsidR="00BE1AD8" w:rsidRDefault="00BE1AD8">
                  <w:pPr>
                    <w:pStyle w:val="OCRStyle2"/>
                    <w:ind w:left="659"/>
                    <w:rPr>
                      <w:rtl/>
                    </w:rPr>
                  </w:pPr>
                  <w:r>
                    <w:rPr>
                      <w:rtl/>
                    </w:rPr>
                    <w:t>יעלה על 10% לשנה.</w:t>
                  </w:r>
                </w:p>
                <w:p w:rsidR="00BE1AD8" w:rsidRDefault="00BE1AD8">
                  <w:pPr>
                    <w:pStyle w:val="OCRStyle2"/>
                    <w:ind w:left="1098"/>
                    <w:rPr>
                      <w:rtl/>
                    </w:rPr>
                  </w:pPr>
                  <w:r>
                    <w:rPr>
                      <w:rtl/>
                    </w:rPr>
                    <w:t>(ג) בנק שהפר הוראה שנקבעה בצו לפי סעיף קטן (א), רשאית</w:t>
                  </w:r>
                </w:p>
                <w:p w:rsidR="00BE1AD8" w:rsidRDefault="00BE1AD8">
                  <w:pPr>
                    <w:pStyle w:val="OCRStyle2"/>
                    <w:ind w:left="652"/>
                    <w:rPr>
                      <w:rtl/>
                    </w:rPr>
                  </w:pPr>
                  <w:r>
                    <w:rPr>
                      <w:rtl/>
                    </w:rPr>
                    <w:t>הממשלה להורות לו כי עד להודעה חדשה לא יוסיף להתחייב בהתחייבו-</w:t>
                  </w:r>
                </w:p>
                <w:p w:rsidR="00BE1AD8" w:rsidRDefault="00BE1AD8">
                  <w:pPr>
                    <w:pStyle w:val="OCRStyle2"/>
                    <w:ind w:left="655"/>
                    <w:rPr>
                      <w:rtl/>
                    </w:rPr>
                  </w:pPr>
                  <w:r>
                    <w:rPr>
                      <w:rtl/>
                    </w:rPr>
                    <w:t>יות ולתת ערבויות כאמור בססקאות (1) עד (5) לסעיף קטן (א), לתת</w:t>
                  </w:r>
                </w:p>
                <w:p w:rsidR="00BE1AD8" w:rsidRDefault="00BE1AD8">
                  <w:pPr>
                    <w:pStyle w:val="OCRStyle2"/>
                    <w:ind w:left="652"/>
                    <w:rPr>
                      <w:rtl/>
                    </w:rPr>
                  </w:pPr>
                  <w:r>
                    <w:rPr>
                      <w:rtl/>
                    </w:rPr>
                    <w:t>אשראי, להשקיע כספים ולחלק רווחים, ובלבד שהממשלה לא תעשה כן</w:t>
                  </w:r>
                </w:p>
                <w:p w:rsidR="00BE1AD8" w:rsidRDefault="00BE1AD8">
                  <w:pPr>
                    <w:pStyle w:val="OCRStyle2"/>
                    <w:ind w:left="655"/>
                    <w:rPr>
                      <w:rtl/>
                    </w:rPr>
                  </w:pPr>
                  <w:r>
                    <w:rPr>
                      <w:rtl/>
                    </w:rPr>
                    <w:t>אלא לאחר מתן אזהרה. הוראה כאמור יכול שתחול על כל הפעולות</w:t>
                  </w:r>
                </w:p>
                <w:p w:rsidR="00BE1AD8" w:rsidRDefault="00BE1AD8">
                  <w:pPr>
                    <w:pStyle w:val="OCRStyle2"/>
                    <w:ind w:left="659"/>
                    <w:rPr>
                      <w:rtl/>
                    </w:rPr>
                  </w:pPr>
                  <w:r>
                    <w:rPr>
                      <w:rtl/>
                    </w:rPr>
                    <w:t>האמורות או על מקצתן, ויכול שתהיה מותנית.</w:t>
                  </w:r>
                </w:p>
                <w:p w:rsidR="00BE1AD8" w:rsidRDefault="00BE1AD8">
                  <w:pPr>
                    <w:pStyle w:val="OCRStyle2"/>
                    <w:ind w:left="1102"/>
                    <w:rPr>
                      <w:rtl/>
                    </w:rPr>
                  </w:pPr>
                  <w:r>
                    <w:rPr>
                      <w:rtl/>
                    </w:rPr>
                    <w:t>(ד) בנק שהפר הוראה שניתנה על פי סעיף קטן (ג), דינו - קנס</w:t>
                  </w:r>
                </w:p>
                <w:p w:rsidR="00BE1AD8" w:rsidRDefault="00BE1AD8">
                  <w:pPr>
                    <w:pStyle w:val="OCRStyle2"/>
                    <w:ind w:left="652"/>
                    <w:rPr>
                      <w:rtl/>
                    </w:rPr>
                  </w:pPr>
                  <w:r>
                    <w:rPr>
                      <w:rtl/>
                    </w:rPr>
                    <w:t>10,000 לירות, וכל מנהל או פקיד אחראי שביודעין עשה את הפעולה</w:t>
                  </w:r>
                </w:p>
                <w:p w:rsidR="00BE1AD8" w:rsidRDefault="00BE1AD8">
                  <w:pPr>
                    <w:pStyle w:val="OCRStyle2"/>
                    <w:ind w:left="655"/>
                    <w:rPr>
                      <w:rtl/>
                    </w:rPr>
                  </w:pPr>
                  <w:r>
                    <w:rPr>
                      <w:rtl/>
                    </w:rPr>
                    <w:t>המהווה הפרת ההוראה או לא נקט אמצעים סבירים כדי למנוע הפרתה,</w:t>
                  </w:r>
                </w:p>
                <w:p w:rsidR="00BE1AD8" w:rsidRDefault="00BE1AD8">
                  <w:pPr>
                    <w:pStyle w:val="OCRStyle2"/>
                    <w:ind w:left="662"/>
                  </w:pPr>
                  <w:r>
                    <w:rPr>
                      <w:rtl/>
                    </w:rPr>
                    <w:t>דינו - מאסר שנתיים".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1061A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061A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8618F63-1F0B-4F3C-80EF-4943F2C1E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061AA"/>
    <w:rPr>
      <w:rFonts w:ascii="Arial" w:hAnsi="Arial" w:cs="Arial"/>
      <w:sz w:val="22"/>
      <w:szCs w:val="22"/>
    </w:rPr>
  </w:style>
  <w:style w:type="paragraph" w:customStyle="1" w:styleId="OCRStyle2">
    <w:name w:val="OCR Style #2"/>
    <w:basedOn w:val="a"/>
    <w:rsid w:val="00BE1AD8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2008-04-09T14:21:00Z</dcterms:created>
  <dcterms:modified xsi:type="dcterms:W3CDTF">2008-04-09T14:21:00Z</dcterms:modified>
</cp:coreProperties>
</file>