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2AA5" w:rsidRDefault="00892AA5">
      <w:pPr>
        <w:rPr>
          <w:rtl/>
        </w:rPr>
      </w:pPr>
    </w:p>
    <w:p w:rsidR="00892A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8" inset="0,0,0,0">
              <w:txbxContent>
                <w:p w:rsidR="00954415" w:rsidRDefault="00954415">
                  <w:r>
                    <w:rPr>
                      <w:rtl/>
                    </w:rPr>
                    <w:t>210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" o:spid="_x0000_s1026" type="#_x0000_t202" style="position:absolute;left:0;text-align:left;margin-left:103.25pt;margin-top:667.3pt;width:384.3pt;height:83.95pt;z-index:3;mso-position-horizontal-relative:page;mso-position-vertical-relative:page" stroked="f">
            <v:textbox style="mso-next-textbox:#_x0000_s5139" inset="0,0,0,0">
              <w:txbxContent>
                <w:p w:rsidR="00954415" w:rsidRDefault="00954415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בסיון תשל''ו (14 ביוני 1976); הגעת החוק ודברי הסבר פורסמו בה"ח 1224, תשל"ו</w:t>
                  </w:r>
                </w:p>
                <w:p w:rsidR="00954415" w:rsidRDefault="0095441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154.</w:t>
                  </w:r>
                </w:p>
                <w:p w:rsidR="00954415" w:rsidRDefault="0095441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 ע"ר 1941, תוס' 1, עמ 85; ע''ר תש''ט, תוס' א', עמ' 90; ס"ח תשי"ד, עמ' 83; תשט"ז, עמ' 2; תשכ"א, עמ'</w:t>
                  </w:r>
                </w:p>
                <w:p w:rsidR="00954415" w:rsidRPr="00892AA5" w:rsidRDefault="00954415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74, עמ' 114, עמ' 172; תשכ''ה, עמ' 50; תשכ''ו, עמ' 14: תשכ"ט,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" o:spid="_x0000_s1027" type="#_x0000_t202" style="position:absolute;left:0;text-align:left;margin-left:91.6pt;margin-top:114.5pt;width:461.35pt;height:551.25pt;z-index:2;mso-position-horizontal-relative:page;mso-position-vertical-relative:page" stroked="f">
            <v:textbox style="mso-next-textbox:#_x0000_s51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7"/>
                    <w:gridCol w:w="1389"/>
                    <w:gridCol w:w="1213"/>
                  </w:tblGrid>
                  <w:tr w:rsidR="00954415" w:rsidRPr="00892AA5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954415" w:rsidRDefault="0095441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כסעיף 2 לפקודת הבנקאות, 1941 1(להלן - הפקודה)*, בסופו יבוא: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""שביתה" - הפסקת עבודה מאורגנת, מלאה או חלקית, של קבוצת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עובדים, לרכות שביתת האטה והפרעה מאורגנת אחרת של מהלך</w:t>
                        </w:r>
                      </w:p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התקין."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954415" w:rsidRPr="00892AA5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8יד לפקודה יבוא: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8טו ער 8כא</w:t>
                        </w:r>
                      </w:p>
                    </w:tc>
                  </w:tr>
                  <w:tr w:rsidR="00954415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8טו. (א) נוכח המפקח שבנק פלוני אינו יכול לנהל את עסקיו באורח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תקין מחמת שביתה באותו בנק או בבנק אחר, רשאי הוא להכריז כי הבנק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הפסיק לתת שירותים (להלן ~ הפסקה), ומותר לקבוע באכרזה כי היא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כלל שירותי הבנק או על חלק מהם.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האכרזה תפורסם ברשומות ולפחות בארבעה עתונים יומיים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היוצאים לאור בישראל.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באכרזה ייקבע המועד שבו הפסיק הבנק לתת שירותים ומותר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בה מועדי הפסקה שונים לשירותים שונים.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"אכרזה על הפסקה</w:t>
                        </w:r>
                      </w:p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שירותים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4415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8טז. בביטול האכרזה מותר לקבוע מועדי ביטול שונים לשירותים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4415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8יז. גא) הוסכם בין הבנק שבהפסקה לבין אדם על עשיית פעולה או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התחייבות שהבנק או האדם חייבים או רשאים לעשותם בתוך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שבין האכרזה לבין ביטולה, יידחה המועד עד לתום שלושה ימי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מיום ביטול האכרזה, ובלבד שהפעולה או מילוי ההתחייבות הם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השירותים שעליהם חלה האכרזה.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דחיית מועד לפי סעיף זה תחול גם לגבי מועד שנקבע בפסק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בהחלטה אחרת של בית משפט או של רשות שיפוטית או מעין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אחרת על פי דין.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מועדים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4415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8יח. (א) נשאה התחייבות שמועד פרעונה נדחה לפי סעיף 8יז ריבית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ההפסקה, תוסיף ההתחייבות לשאת ריבית עד למועד פרעונה החדש,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שחל בתקופה שלפני ההפסקה.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התחייבות שמועד פרעונה נדחה לפי סעיף 8יז צמודת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תוסיף לחול החובה לשלם הפרשי הצמדה כמוסכם במשך תקופת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ההפסקה; לענין זה, "התחייבות צמודת ערך" - התחייבות שסכומה.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צמוד לשער החליפין של המטבע הישראלי, למדד יוקר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המחיה או לעליית מחירו של כל דבר אחר.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נגיד בנק ישראל רשאי להורות שבתקופת ההפסקה יהיה אדם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או חייב לשלם לבנק ישראל כל סכום שהוא חב לבנק שבהפסקה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התשלום כדין תשלום לבנק שבהפסקה; הוראה לפי סעיף קטן זה</w:t>
                        </w:r>
                      </w:p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לידיעת החייכים בדרך שיורה עליה הנגיד.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</w:t>
                        </w:r>
                      </w:p>
                      <w:p w:rsidR="00954415" w:rsidRPr="00892AA5" w:rsidRDefault="009544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723" w:type="pct"/>
                      </w:tcPr>
                      <w:p w:rsidR="00954415" w:rsidRDefault="009544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4415" w:rsidRDefault="009544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1" o:spid="_x0000_s1028" type="#_x0000_t202" style="position:absolute;left:0;text-align:left;margin-left:120.1pt;margin-top:80.05pt;width:335.6pt;height:29.5pt;z-index:1;mso-position-horizontal-relative:page;mso-position-vertical-relative:page" stroked="f">
            <v:textbox style="mso-next-textbox:#_x0000_s5141" inset="0,0,0,0">
              <w:txbxContent>
                <w:p w:rsidR="00954415" w:rsidRPr="00892AA5" w:rsidRDefault="00954415">
                  <w:pPr>
                    <w:pStyle w:val="OCRStyle1"/>
                    <w:ind w:left="43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10), תשל"ו-1976 *</w:t>
                  </w:r>
                </w:p>
              </w:txbxContent>
            </v:textbox>
            <w10:wrap anchorx="page" anchory="page"/>
          </v:shape>
        </w:pict>
      </w:r>
    </w:p>
    <w:p w:rsidR="00960E38" w:rsidRDefault="00960E38">
      <w:pPr>
        <w:rPr>
          <w:rtl/>
        </w:rPr>
      </w:pPr>
      <w:r>
        <w:rPr>
          <w:rtl/>
        </w:rPr>
        <w:br w:type="page"/>
      </w:r>
    </w:p>
    <w:p w:rsidR="00960E38" w:rsidRDefault="00000000">
      <w:pPr>
        <w:rPr>
          <w:rtl/>
        </w:rPr>
      </w:pPr>
      <w:r>
        <w:pict>
          <v:shape id="_x0000_s514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42" inset="0,0,0,0">
              <w:txbxContent>
                <w:p w:rsidR="00954415" w:rsidRDefault="00954415">
                  <w:r>
                    <w:rPr>
                      <w:rtl/>
                    </w:rPr>
                    <w:t>211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" o:spid="_x0000_s1030" type="#_x0000_t202" style="position:absolute;left:0;text-align:left;margin-left:390.75pt;margin-top:745.7pt;width:168.5pt;height:24.35pt;z-index:10;mso-position-horizontal-relative:page;mso-position-vertical-relative:page" stroked="f">
            <v:textbox style="mso-next-textbox:#_x0000_s5143" inset="0,0,0,0">
              <w:txbxContent>
                <w:p w:rsidR="00954415" w:rsidRDefault="009544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44" o:spid="_x0000_s1031" type="#_x0000_t202" style="position:absolute;left:0;text-align:left;margin-left:317.5pt;margin-top:460.75pt;width:240.95pt;height:43.95pt;z-index:9;mso-position-horizontal-relative:page;mso-position-vertical-relative:page" stroked="f">
            <v:textbox style="mso-next-textbox:#_x0000_s5144" inset="0,0,0,0">
              <w:txbxContent>
                <w:p w:rsidR="00954415" w:rsidRDefault="00954415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 ס"ח תשכ"ג, עי;' 130.</w:t>
                  </w:r>
                </w:p>
                <w:p w:rsidR="00954415" w:rsidRDefault="00954415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3 ס"ח תשכ"א, עמי 114; תשכ"ו, עמי 14; תשל"א, עמ' .124</w:t>
                  </w:r>
                </w:p>
                <w:p w:rsidR="00954415" w:rsidRPr="00960E38" w:rsidRDefault="00954415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4. ס"ח תשכ"א, עמי 172; תשכין/ עמ' 14; תשל"א', עמ' 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" o:spid="_x0000_s1032" type="#_x0000_t202" style="position:absolute;left:0;text-align:left;margin-left:177.5pt;margin-top:382.55pt;width:118pt;height:35.25pt;z-index:8;mso-position-horizontal-relative:page;mso-position-vertical-relative:page" stroked="f">
            <v:textbox style="mso-next-textbox:#_x0000_s5145" inset="0,0,0,0">
              <w:txbxContent>
                <w:p w:rsidR="00954415" w:rsidRDefault="00954415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54415" w:rsidRDefault="00954415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" o:spid="_x0000_s1033" type="#_x0000_t202" style="position:absolute;left:0;text-align:left;margin-left:318.3pt;margin-top:384.95pt;width:79.2pt;height:36.25pt;z-index:7;mso-position-horizontal-relative:page;mso-position-vertical-relative:page" stroked="f">
            <v:textbox style="mso-next-textbox:#_x0000_s5146" inset="0,0,0,0">
              <w:txbxContent>
                <w:p w:rsidR="00954415" w:rsidRDefault="00954415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54415" w:rsidRDefault="00954415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" o:spid="_x0000_s1034" type="#_x0000_t202" style="position:absolute;left:0;text-align:left;margin-left:467.4pt;margin-top:410.3pt;width:89.3pt;height:39.6pt;z-index:6;mso-position-horizontal-relative:page;mso-position-vertical-relative:page" stroked="f">
            <v:textbox style="mso-next-textbox:#_x0000_s5147" inset="0,0,0,0">
              <w:txbxContent>
                <w:p w:rsidR="00954415" w:rsidRDefault="00954415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54415" w:rsidRDefault="00954415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8" o:spid="_x0000_s1035" type="#_x0000_t202" style="position:absolute;left:0;text-align:left;margin-left:101.7pt;margin-top:82.6pt;width:455.8pt;height:290.65pt;z-index:5;mso-position-horizontal-relative:page;mso-position-vertical-relative:page" stroked="f">
            <v:textbox style="mso-next-textbox:#_x0000_s51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5713"/>
                    <w:gridCol w:w="1291"/>
                  </w:tblGrid>
                  <w:tr w:rsidR="00954415" w:rsidRPr="00960E38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6יט. מי שלפני מועד ההפסקה נתן שיק משוך על הבנק, או הוראה אחרת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לבצע תשלום מחשבונו בבנק וקיום ההוראה הוא בגדר השירותים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חלה האכרזה, רואים את הסכום שבהוראה כנפרע במועדו אם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אותו הבנק תוך שלושה ימי עסקים שלאחר ביטול האכרזה.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הוראת</w:t>
                        </w:r>
                      </w:p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חשלום</w:t>
                        </w:r>
                      </w:p>
                    </w:tc>
                  </w:tr>
                  <w:tr w:rsidR="00954415" w:rsidRPr="00960E38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8כ. בנק שבהפסקה לא ישא באחריות פלילית או אזרחית בשל מעשה</w:t>
                        </w:r>
                      </w:p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מחדל הנובעים מהפסקת השירותים שעליהם חלה האכרזה.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אחריות</w:t>
                        </w:r>
                      </w:p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</w:t>
                        </w:r>
                      </w:p>
                    </w:tc>
                  </w:tr>
                  <w:tr w:rsidR="00954415" w:rsidRPr="00960E38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8כא. (א) המושך שיק על בנק שבהפסקה לא ישא באחריות פלילית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 לחוק לתיקון דיני העונשין (עבירות מרמה, סחיטה ועושק),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תשכ"ג-21963 (להלן - חוק העונשין), אם העדר החובה על הבנק לפרוע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השיק במועד הנקוב בו כמועד משיכתו נבע רק מדחיית המועד לפי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3יז,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סעיף 15(0 לחוק העונשין לא תובא במנין ששים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התקופה שבין האכרזה לבין ביטולה לגבי שיק שנמשך על הבנק</w:t>
                        </w:r>
                      </w:p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שבהפסקה ופרעון השיק הוא בגדר השירותים שעליהם חלה האכרזה."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בדיני עונשין</w:t>
                        </w:r>
                      </w:p>
                    </w:tc>
                  </w:tr>
                  <w:tr w:rsidR="00954415" w:rsidRPr="00960E38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הוקף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954415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תקפם של חוק לתיקון פקודת הבנקאות (מס' 5), תשכ"א-31961, ושל חוק לתיקון</w:t>
                        </w:r>
                      </w:p>
                      <w:p w:rsidR="00954415" w:rsidRPr="00960E38" w:rsidRDefault="009544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הבנקאות (מס' 6), תשכ"א-1961 4, יפקע ביום כ"ה בסיון תשל"ח (30 ביוני 1978).</w:t>
                        </w:r>
                      </w:p>
                    </w:tc>
                  </w:tr>
                </w:tbl>
                <w:p w:rsidR="00954415" w:rsidRDefault="009544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54415" w:rsidRDefault="00954415">
      <w:pPr>
        <w:rPr>
          <w:rtl/>
        </w:rPr>
      </w:pPr>
      <w:r>
        <w:rPr>
          <w:rtl/>
        </w:rPr>
        <w:br w:type="page"/>
      </w:r>
    </w:p>
    <w:p w:rsidR="00954415" w:rsidRDefault="00000000">
      <w:pPr>
        <w:rPr>
          <w:rtl/>
        </w:rPr>
      </w:pPr>
      <w:r>
        <w:pict>
          <v:shape id="_x0000_s5149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49" inset="0,0,0,0">
              <w:txbxContent>
                <w:p w:rsidR="00954415" w:rsidRDefault="00954415">
                  <w:r>
                    <w:rPr>
                      <w:rtl/>
                    </w:rPr>
                    <w:t>212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" o:spid="_x0000_s1037" type="#_x0000_t202" style="position:absolute;left:0;text-align:left;margin-left:87pt;margin-top:719.05pt;width:156.6pt;height:35.25pt;z-index:12;mso-position-horizontal-relative:page;mso-position-vertical-relative:page" stroked="f">
            <v:textbox style="mso-next-textbox:#_x0000_s5150" inset="0,0,0,0">
              <w:txbxContent>
                <w:p w:rsidR="00954415" w:rsidRDefault="009544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2A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8D65D4-C0E8-4A25-95D1-A677D888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2A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0E3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544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2008-04-06T22:43:00Z</dcterms:created>
  <dcterms:modified xsi:type="dcterms:W3CDTF">2008-04-06T22:43:00Z</dcterms:modified>
</cp:coreProperties>
</file>