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95391" w:rsidRDefault="00C95391">
      <w:pPr>
        <w:rPr>
          <w:rtl/>
        </w:rPr>
      </w:pPr>
    </w:p>
    <w:p w:rsidR="00C9539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5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51" inset="0,0,0,0">
              <w:txbxContent>
                <w:p w:rsidR="00BF5ACF" w:rsidRDefault="00BF5ACF">
                  <w:r>
                    <w:rPr>
                      <w:rtl/>
                    </w:rPr>
                    <w:t>248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2" o:spid="_x0000_s1026" type="#_x0000_t202" style="position:absolute;left:0;text-align:left;margin-left:68.85pt;margin-top:707.8pt;width:411.65pt;height:55.05pt;z-index:3;mso-position-horizontal-relative:page;mso-position-vertical-relative:page" stroked="f">
            <v:textbox style="mso-next-textbox:#_x0000_s5152" inset="0,0,0,0">
              <w:txbxContent>
                <w:tbl>
                  <w:tblPr>
                    <w:tblW w:w="442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4"/>
                  </w:tblGrid>
                  <w:tr w:rsidR="00BF5ACF" w:rsidRPr="00C9539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* נתקבל בכנסת גיוס ט"ו  בתמוז תשל"ו (13 ביולי 1976); הצעת החוק ודברי הסבר פורסמו בה"ח 1071, תשל"ג</w:t>
                        </w:r>
                      </w:p>
                      <w:p w:rsidR="00BF5ACF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עמ' 354.</w:t>
                        </w:r>
                      </w:p>
                      <w:p w:rsidR="00BF5ACF" w:rsidRPr="00C95391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ע"ר 1941, תוס' 1, עמ' 85; ס"ח  תשל"ו, עמ' 210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3" o:spid="_x0000_s1027" type="#_x0000_t202" style="position:absolute;left:0;text-align:left;margin-left:62.5pt;margin-top:581.7pt;width:500.35pt;height:123.95pt;z-index:2;mso-position-horizontal-relative:page;mso-position-vertical-relative:page" stroked="f">
            <v:textbox style="mso-next-textbox:#_x0000_s5153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73"/>
                    <w:gridCol w:w="1417"/>
                    <w:gridCol w:w="1607"/>
                  </w:tblGrid>
                  <w:tr w:rsidR="00BF5ACF" w:rsidRPr="00C95391">
                    <w:trPr>
                      <w:jc w:val="right"/>
                    </w:trPr>
                    <w:tc>
                      <w:tcPr>
                        <w:tcW w:w="4117" w:type="pct"/>
                        <w:gridSpan w:val="2"/>
                      </w:tcPr>
                      <w:p w:rsidR="00BF5ACF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בפקודת הבנקאות, 1941 1, אחרי סעיף. 13 יבוא:</w:t>
                        </w:r>
                      </w:p>
                      <w:p w:rsidR="00BF5ACF" w:rsidRPr="00C95391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</w:t>
                        </w:r>
                      </w:p>
                    </w:tc>
                    <w:tc>
                      <w:tcPr>
                        <w:tcW w:w="883" w:type="pct"/>
                      </w:tcPr>
                      <w:p w:rsidR="00BF5ACF" w:rsidRPr="00C95391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BF5ACF">
                    <w:trPr>
                      <w:jc w:val="right"/>
                    </w:trPr>
                    <w:tc>
                      <w:tcPr>
                        <w:tcW w:w="3338" w:type="pct"/>
                      </w:tcPr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קיבל בנק כספים, ניירית ערך או מסמכים סחירים אחרים</w:t>
                        </w:r>
                      </w:p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בחשבון משותף שלגביו הותנה עם הבנק, כי בפטירת אחד מבעלי החשבון</w:t>
                        </w:r>
                      </w:p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בעל החשבון הנותר בחיים או מי שפועל מכוחו כדין, זכאי להמשיך</w:t>
                        </w:r>
                      </w:p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לעשות פעולות בחשבון האמור, יעמוד התנאי בתקפו, לענין היחסים שבי</w:t>
                        </w:r>
                      </w:p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לבין בעעלי החשבון, גם לאחר הפטירה.</w:t>
                        </w:r>
                      </w:p>
                    </w:tc>
                    <w:tc>
                      <w:tcPr>
                        <w:tcW w:w="779" w:type="pct"/>
                      </w:tcPr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|חשכון משותף</w:t>
                        </w:r>
                      </w:p>
                      <w:p w:rsidR="00BF5ACF" w:rsidRPr="00C95391" w:rsidRDefault="00BF5AC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וכספת משותפת</w:t>
                        </w:r>
                      </w:p>
                    </w:tc>
                    <w:tc>
                      <w:tcPr>
                        <w:tcW w:w="883" w:type="pct"/>
                      </w:tcPr>
                      <w:p w:rsidR="00BF5ACF" w:rsidRDefault="00BF5AC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BF5ACF" w:rsidRDefault="00BF5A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54" o:spid="_x0000_s1028" type="#_x0000_t202" style="position:absolute;left:0;text-align:left;margin-left:102.1pt;margin-top:545.05pt;width:353.45pt;height:36.65pt;z-index:1;mso-position-horizontal-relative:page;mso-position-vertical-relative:page" stroked="f">
            <v:textbox style="mso-next-textbox:#_x0000_s5154" inset="0,0,0,0">
              <w:txbxContent>
                <w:tbl>
                  <w:tblPr>
                    <w:tblW w:w="440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425"/>
                  </w:tblGrid>
                  <w:tr w:rsidR="00BF5ACF" w:rsidRPr="00C95391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Pr="00C95391" w:rsidRDefault="00BF5ACF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חוק לתיקון פקודת הבנקאות (מס' 11), תשל"ו-1976*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</w:p>
    <w:p w:rsidR="00BF5ACF" w:rsidRDefault="00BF5ACF">
      <w:pPr>
        <w:rPr>
          <w:rtl/>
        </w:rPr>
      </w:pPr>
      <w:r>
        <w:rPr>
          <w:rtl/>
        </w:rPr>
        <w:br w:type="page"/>
      </w:r>
    </w:p>
    <w:p w:rsidR="00BF5ACF" w:rsidRDefault="00000000">
      <w:pPr>
        <w:rPr>
          <w:rtl/>
        </w:rPr>
      </w:pPr>
      <w:r>
        <w:pict>
          <v:shape id="_x0000_s515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55" inset="0,0,0,0">
              <w:txbxContent>
                <w:p w:rsidR="00BF5ACF" w:rsidRDefault="00BF5ACF">
                  <w:r>
                    <w:rPr>
                      <w:rtl/>
                    </w:rPr>
                    <w:t>249                                          ספר החוקים 821                  כ"ד בתמוז התשל"ו 22.07.1976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56" o:spid="_x0000_s1030" type="#_x0000_t202" style="position:absolute;left:0;text-align:left;margin-left:404.5pt;margin-top:320.3pt;width:147.3pt;height:40.2pt;z-index:9;mso-position-horizontal-relative:page;mso-position-vertical-relative:page" stroked="f">
            <v:textbox style="mso-next-textbox:#_x0000_s5156" inset="0,0,0,0">
              <w:txbxContent>
                <w:tbl>
                  <w:tblPr>
                    <w:tblW w:w="421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78"/>
                  </w:tblGrid>
                  <w:tr w:rsidR="00BF5ACF" w:rsidRPr="00BF5AC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Pr="00BF5ACF" w:rsidRDefault="00BF5A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2 ס''ח תש"ט עמ' 187.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57" o:spid="_x0000_s1031" type="#_x0000_t202" style="position:absolute;left:0;text-align:left;margin-left:437.35pt;margin-top:241.85pt;width:115.45pt;height:46.55pt;z-index:8;mso-position-horizontal-relative:page;mso-position-vertical-relative:page" stroked="f">
            <v:textbox style="mso-next-textbox:#_x0000_s5157" inset="0,0,0,0">
              <w:txbxContent>
                <w:tbl>
                  <w:tblPr>
                    <w:tblW w:w="41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099"/>
                  </w:tblGrid>
                  <w:tr w:rsidR="00BF5AC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אפרים קציר</w:t>
                        </w:r>
                      </w:p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המדינה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58" o:spid="_x0000_s1032" type="#_x0000_t202" style="position:absolute;left:0;text-align:left;margin-left:122.95pt;margin-top:212.15pt;width:148.1pt;height:42.35pt;z-index:7;mso-position-horizontal-relative:page;mso-position-vertical-relative:page" stroked="f">
            <v:textbox style="mso-next-textbox:#_x0000_s5158" inset="0,0,0,0">
              <w:txbxContent>
                <w:tbl>
                  <w:tblPr>
                    <w:tblW w:w="421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2693"/>
                  </w:tblGrid>
                  <w:tr w:rsidR="00BF5AC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יהושע רבינוביץ</w:t>
                        </w:r>
                      </w:p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האוצר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59" o:spid="_x0000_s1033" type="#_x0000_t202" style="position:absolute;left:0;text-align:left;margin-left:284.9pt;margin-top:204.85pt;width:103.75pt;height:46.55pt;z-index:6;mso-position-horizontal-relative:page;mso-position-vertical-relative:page" stroked="f">
            <v:textbox style="mso-next-textbox:#_x0000_s5159" inset="0,0,0,0">
              <w:txbxContent>
                <w:tbl>
                  <w:tblPr>
                    <w:tblW w:w="408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886"/>
                  </w:tblGrid>
                  <w:tr w:rsidR="00BF5ACF">
                    <w:trPr>
                      <w:jc w:val="right"/>
                    </w:trPr>
                    <w:tc>
                      <w:tcPr>
                        <w:tcW w:w="5000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יצחק ר בי ן</w:t>
                        </w:r>
                      </w:p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הממשלה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60" o:spid="_x0000_s1034" type="#_x0000_t202" style="position:absolute;left:0;text-align:left;margin-left:90.05pt;margin-top:65.05pt;width:468.05pt;height:119.6pt;z-index:5;mso-position-horizontal-relative:page;mso-position-vertical-relative:page" stroked="f">
            <v:textbox style="mso-next-textbox:#_x0000_s516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24"/>
                    <w:gridCol w:w="7586"/>
                  </w:tblGrid>
                  <w:tr w:rsidR="00BF5ACF" w:rsidRPr="00BF5AC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457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הוראות סעיף קטן (א) יחולו בשינויים המחוייבים לפי הענין</w:t>
                        </w:r>
                      </w:p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ובלי לגרוע מהוראת סעיף 13 (ב) לחוק מס עזבון, תש"ט-1949 2, על</w:t>
                        </w:r>
                      </w:p>
                      <w:p w:rsidR="00BF5ACF" w:rsidRP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כספת שבנק השכיר לשני אנשים או יותר בתנאי האמור."</w:t>
                        </w:r>
                      </w:p>
                    </w:tc>
                  </w:tr>
                  <w:tr w:rsidR="00BF5ACF">
                    <w:trPr>
                      <w:jc w:val="right"/>
                    </w:trPr>
                    <w:tc>
                      <w:tcPr>
                        <w:tcW w:w="543" w:type="pct"/>
                      </w:tcPr>
                      <w:p w:rsidR="00BF5ACF" w:rsidRPr="00BF5ACF" w:rsidRDefault="00BF5ACF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תחולה</w:t>
                        </w:r>
                      </w:p>
                    </w:tc>
                    <w:tc>
                      <w:tcPr>
                        <w:tcW w:w="4457" w:type="pct"/>
                      </w:tcPr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2, הוראות סעיף 813 לפקודת הבנקאות,1941, יחולו בין אם התנאי כאמור בו הותנה</w:t>
                        </w:r>
                      </w:p>
                      <w:p w:rsidR="00BF5ACF" w:rsidRDefault="00BF5AC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תחילתו של חוק זה ובין אם אחריה.</w:t>
                        </w:r>
                      </w:p>
                    </w:tc>
                  </w:tr>
                </w:tbl>
                <w:p w:rsidR="00BF5ACF" w:rsidRDefault="00BF5AC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9539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C08BFC8-91D5-4CB9-9FAE-C5CFFF79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95391"/>
    <w:rPr>
      <w:rFonts w:ascii="Arial" w:hAnsi="Arial" w:cs="Arial"/>
    </w:rPr>
  </w:style>
  <w:style w:type="paragraph" w:customStyle="1" w:styleId="OCRStyle2">
    <w:name w:val="OCR Style #2"/>
    <w:basedOn w:val="a"/>
    <w:rsid w:val="00BF5AC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2008-04-06T22:45:00Z</dcterms:created>
  <dcterms:modified xsi:type="dcterms:W3CDTF">2008-04-06T22:45:00Z</dcterms:modified>
</cp:coreProperties>
</file>