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E12944" w:rsidRDefault="00E12944">
      <w:pPr>
        <w:rPr>
          <w:rtl/>
        </w:rPr>
      </w:pPr>
    </w:p>
    <w:p w:rsidR="00E12944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5310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5310" inset="0,0,0,0">
              <w:txbxContent>
                <w:p w:rsidR="006D5246" w:rsidRDefault="006D5246">
                  <w:r>
                    <w:rPr>
                      <w:rtl/>
                    </w:rPr>
                    <w:t>267                                          ספר החוקים 712                     ה' באב התשל"ג 03.08.1973</w:t>
                  </w:r>
                </w:p>
              </w:txbxContent>
            </v:textbox>
            <w10:wrap anchorx="page" anchory="page"/>
          </v:shape>
        </w:pict>
      </w:r>
      <w:r>
        <w:pict>
          <v:shape id="_x0000_s5311" o:spid="_x0000_s1026" type="#_x0000_t202" style="position:absolute;left:0;text-align:left;margin-left:157.85pt;margin-top:713.5pt;width:389.05pt;height:61.2pt;z-index:6;mso-position-horizontal-relative:page;mso-position-vertical-relative:page" stroked="f">
            <v:textbox style="mso-next-textbox:#_x0000_s5311" inset="0,0,0,0">
              <w:txbxContent>
                <w:p w:rsidR="006D5246" w:rsidRDefault="006D5246">
                  <w:pPr>
                    <w:pStyle w:val="OCRStyle1"/>
                    <w:ind w:left="266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כ"ד בתמוז תשל"ג (24 ביולי 1973); הצעת החוק ודברי הסבר פורסמו בה"ח 849, תשכ"ט/</w:t>
                  </w:r>
                </w:p>
                <w:p w:rsidR="006D5246" w:rsidRPr="00E12944" w:rsidRDefault="006D5246">
                  <w:pPr>
                    <w:pStyle w:val="OCRStyle1"/>
                    <w:ind w:left="385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333.</w:t>
                  </w:r>
                </w:p>
              </w:txbxContent>
            </v:textbox>
            <w10:wrap anchorx="page" anchory="page"/>
          </v:shape>
        </w:pict>
      </w:r>
      <w:r>
        <w:pict>
          <v:shape id="_x0000_s5312" o:spid="_x0000_s1027" type="#_x0000_t202" style="position:absolute;left:0;text-align:left;margin-left:95.05pt;margin-top:378.7pt;width:454.4pt;height:334.8pt;z-index:5;mso-position-horizontal-relative:page;mso-position-vertical-relative:page" stroked="f">
            <v:textbox style="mso-next-textbox:#_x0000_s5312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54"/>
                    <w:gridCol w:w="7008"/>
                  </w:tblGrid>
                  <w:tr w:rsidR="006D5246" w:rsidRPr="00E12944">
                    <w:trPr>
                      <w:jc w:val="right"/>
                    </w:trPr>
                    <w:tc>
                      <w:tcPr>
                        <w:tcW w:w="759" w:type="pct"/>
                      </w:tcPr>
                      <w:p w:rsidR="006D5246" w:rsidRPr="00E12944" w:rsidRDefault="006D524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תחולת ההסדר</w:t>
                        </w:r>
                      </w:p>
                    </w:tc>
                    <w:tc>
                      <w:tcPr>
                        <w:tcW w:w="4241" w:type="pct"/>
                      </w:tcPr>
                      <w:p w:rsidR="006D5246" w:rsidRDefault="006D524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(א) לא עשו בני הזוג הסכם ממון, ואם עשו - במידה שההסכם אינו קובע אחרת,</w:t>
                        </w:r>
                      </w:p>
                      <w:p w:rsidR="006D5246" w:rsidRDefault="006D524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יראום .כמסכימים להסדר איזון המשאבים לפי פרק זה, ויראו הסדר זה כמוסכם בהסכם</w:t>
                        </w:r>
                      </w:p>
                      <w:p w:rsidR="006D5246" w:rsidRDefault="006D524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ממון בעל תוקף שנתמלאו בו הוראות סעיף 2.</w:t>
                        </w:r>
                      </w:p>
                      <w:p w:rsidR="006D5246" w:rsidRDefault="006D524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כני זוג שלא ביקשו אימות של הסכם ממון בהתאם לסעיף 2(ג), יסביר להם רושם</w:t>
                        </w:r>
                      </w:p>
                      <w:p w:rsidR="006D5246" w:rsidRPr="00E12944" w:rsidRDefault="006D524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הנישואין לפני עריכתם את תכנו ומשמעותו של סעיף קטן (א).</w:t>
                        </w:r>
                      </w:p>
                    </w:tc>
                  </w:tr>
                  <w:tr w:rsidR="006D5246" w:rsidRPr="00E12944">
                    <w:trPr>
                      <w:jc w:val="right"/>
                    </w:trPr>
                    <w:tc>
                      <w:tcPr>
                        <w:tcW w:w="759" w:type="pct"/>
                      </w:tcPr>
                      <w:p w:rsidR="006D5246" w:rsidRDefault="006D524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העדר תוצאות</w:t>
                        </w:r>
                      </w:p>
                      <w:p w:rsidR="006D5246" w:rsidRPr="00E12944" w:rsidRDefault="006D524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במשך הנישואין</w:t>
                        </w:r>
                      </w:p>
                    </w:tc>
                    <w:tc>
                      <w:tcPr>
                        <w:tcW w:w="4241" w:type="pct"/>
                      </w:tcPr>
                      <w:p w:rsidR="006D5246" w:rsidRDefault="006D524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אין ככריתת הנישואין או בקיומם כשלעצמם כדי לפגוע בקנינים של בני הזוג, להקנות</w:t>
                        </w:r>
                      </w:p>
                      <w:p w:rsidR="006D5246" w:rsidRPr="00E12944" w:rsidRDefault="006D524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לאחד מהם זכויות בנכסי השני או להטיל עליו אחריות לחובות השני.</w:t>
                        </w:r>
                      </w:p>
                    </w:tc>
                  </w:tr>
                  <w:tr w:rsidR="006D5246" w:rsidRPr="00E12944">
                    <w:trPr>
                      <w:jc w:val="right"/>
                    </w:trPr>
                    <w:tc>
                      <w:tcPr>
                        <w:tcW w:w="759" w:type="pct"/>
                      </w:tcPr>
                      <w:p w:rsidR="006D5246" w:rsidRDefault="006D524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הזכות לאיזון</w:t>
                        </w:r>
                      </w:p>
                      <w:p w:rsidR="006D5246" w:rsidRPr="00E12944" w:rsidRDefault="006D524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בפקיעת הנישואין</w:t>
                        </w:r>
                      </w:p>
                    </w:tc>
                    <w:tc>
                      <w:tcPr>
                        <w:tcW w:w="4241" w:type="pct"/>
                      </w:tcPr>
                      <w:p w:rsidR="006D5246" w:rsidRDefault="006D524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(א) עם פקיעת הנישואין עקב גירושין או עקב מותו של בן זוג (להלן - פקיעת</w:t>
                        </w:r>
                      </w:p>
                      <w:p w:rsidR="006D5246" w:rsidRDefault="006D524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הנישואין) זכאי כל אהד מבני הזוג למחצית שוויים של כלל נכסי בני הזוג, למעט -</w:t>
                        </w:r>
                      </w:p>
                      <w:p w:rsidR="006D5246" w:rsidRDefault="006D524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נכסים שהיו להם ערב הנישואין או שקיבלו במתנה או בירושה בתקופת</w:t>
                        </w:r>
                      </w:p>
                      <w:p w:rsidR="006D5246" w:rsidRDefault="006D524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הנישואין :</w:t>
                        </w:r>
                      </w:p>
                      <w:p w:rsidR="006D5246" w:rsidRDefault="006D524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זכויות שעל פי דין אינן ניתנות להעברה:</w:t>
                        </w:r>
                      </w:p>
                      <w:p w:rsidR="006D5246" w:rsidRDefault="006D524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נכסים שבני הזוג הסכימו בכתב ששוויים לא יאוזן ביניהם.</w:t>
                        </w:r>
                      </w:p>
                      <w:p w:rsidR="006D5246" w:rsidRDefault="006D524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בפקיעת הנישואין עקב מותו של בן זוג יבואו, לענין הזכות, לאיזון המשאבים,</w:t>
                        </w:r>
                      </w:p>
                      <w:p w:rsidR="006D5246" w:rsidRPr="00E12944" w:rsidRDefault="006D524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יורשיו במקומו.</w:t>
                        </w:r>
                      </w:p>
                    </w:tc>
                  </w:tr>
                  <w:tr w:rsidR="006D5246" w:rsidRPr="00E12944">
                    <w:trPr>
                      <w:jc w:val="right"/>
                    </w:trPr>
                    <w:tc>
                      <w:tcPr>
                        <w:tcW w:w="759" w:type="pct"/>
                      </w:tcPr>
                      <w:p w:rsidR="006D5246" w:rsidRDefault="006D524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מימוש הזכות</w:t>
                        </w:r>
                      </w:p>
                      <w:p w:rsidR="006D5246" w:rsidRPr="00E12944" w:rsidRDefault="006D524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לאיזון</w:t>
                        </w:r>
                      </w:p>
                    </w:tc>
                    <w:tc>
                      <w:tcPr>
                        <w:tcW w:w="4241" w:type="pct"/>
                      </w:tcPr>
                      <w:p w:rsidR="006D5246" w:rsidRDefault="006D524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6. (א) לצורך איזון המשאבים לפי סעיף 5 יש לשום את נכסי כל אחד מבני הזוג,</w:t>
                        </w:r>
                      </w:p>
                      <w:p w:rsidR="006D5246" w:rsidRDefault="006D524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פרט לנכסים שאין לאזן שוויים; משווי הנכסים האמורים של כל בן-זוג יש לנכות את סכום</w:t>
                        </w:r>
                      </w:p>
                      <w:p w:rsidR="006D5246" w:rsidRDefault="006D524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החובות המגיעים ממנו, למעט חובות בקשר לנכסים שאין לאזן שוויים.</w:t>
                        </w:r>
                      </w:p>
                      <w:p w:rsidR="006D5246" w:rsidRDefault="006D524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היה שוויים של נכסי בן הזוג האחד עולה על שוויים של נכסי השני, חייב האחד</w:t>
                        </w:r>
                      </w:p>
                      <w:p w:rsidR="006D5246" w:rsidRPr="00E12944" w:rsidRDefault="006D524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לתת לשני את מחצית ההפרש, אם בעין ואם בכסף או בשווה כסף,</w:t>
                        </w:r>
                      </w:p>
                    </w:tc>
                  </w:tr>
                </w:tbl>
                <w:p w:rsidR="006D5246" w:rsidRDefault="006D5246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5313" o:spid="_x0000_s1028" type="#_x0000_t202" style="position:absolute;left:0;text-align:left;margin-left:269.7pt;margin-top:357.1pt;width:174.05pt;height:19.8pt;z-index:4;mso-position-horizontal-relative:page;mso-position-vertical-relative:page" stroked="f">
            <v:textbox style="mso-next-textbox:#_x0000_s5313" inset="0,0,0,0">
              <w:txbxContent>
                <w:p w:rsidR="006D5246" w:rsidRPr="00E12944" w:rsidRDefault="006D5246">
                  <w:pPr>
                    <w:pStyle w:val="OCRStyle1"/>
                    <w:ind w:left="151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פרק שני: הסדר איזון המשאבים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5314" o:spid="_x0000_s1029" type="#_x0000_t202" style="position:absolute;left:0;text-align:left;margin-left:112.3pt;margin-top:172pt;width:440.75pt;height:183.35pt;z-index:3;mso-position-horizontal-relative:page;mso-position-vertical-relative:page" stroked="f">
            <v:textbox style="mso-next-textbox:#_x0000_s5314" inset="0,0,0,0">
              <w:txbxContent>
                <w:tbl>
                  <w:tblPr>
                    <w:tblW w:w="442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14"/>
                    <w:gridCol w:w="6999"/>
                  </w:tblGrid>
                  <w:tr w:rsidR="006D5246" w:rsidRPr="00E12944">
                    <w:trPr>
                      <w:jc w:val="right"/>
                    </w:trPr>
                    <w:tc>
                      <w:tcPr>
                        <w:tcW w:w="633" w:type="pct"/>
                      </w:tcPr>
                      <w:p w:rsidR="006D5246" w:rsidRPr="00E12944" w:rsidRDefault="006D524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הסכם ממון</w:t>
                        </w:r>
                      </w:p>
                    </w:tc>
                    <w:tc>
                      <w:tcPr>
                        <w:tcW w:w="4367" w:type="pct"/>
                      </w:tcPr>
                      <w:p w:rsidR="006D5246" w:rsidRDefault="006D524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1. הסכן בין בני זוג המסדיר יחסי ממון שביניהם (להלן - הסכם ממון),- ושינוי של</w:t>
                        </w:r>
                      </w:p>
                      <w:p w:rsidR="006D5246" w:rsidRPr="00E12944" w:rsidRDefault="006D524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הסכם כזה, יהיו בכתב.</w:t>
                        </w:r>
                      </w:p>
                    </w:tc>
                  </w:tr>
                  <w:tr w:rsidR="006D5246" w:rsidRPr="00E12944">
                    <w:trPr>
                      <w:jc w:val="right"/>
                    </w:trPr>
                    <w:tc>
                      <w:tcPr>
                        <w:tcW w:w="633" w:type="pct"/>
                      </w:tcPr>
                      <w:p w:rsidR="006D5246" w:rsidRPr="00E12944" w:rsidRDefault="006D524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אישור ואימות</w:t>
                        </w:r>
                      </w:p>
                    </w:tc>
                    <w:tc>
                      <w:tcPr>
                        <w:tcW w:w="4367" w:type="pct"/>
                      </w:tcPr>
                      <w:p w:rsidR="006D5246" w:rsidRDefault="006D524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(א) הסכם ממון טעון אישור בית המשפט המחוזי (להלן - בית המשפט) או בית</w:t>
                        </w:r>
                      </w:p>
                      <w:p w:rsidR="006D5246" w:rsidRDefault="006D524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הדין הדתי שלו סמכות השיפוט בענייני נישואין וגירושין של בגי הזוג (להלן -- בית הדין),</w:t>
                        </w:r>
                      </w:p>
                      <w:p w:rsidR="006D5246" w:rsidRDefault="006D524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וכן טעון שינוי של הסכם כזה אישור כאמור.</w:t>
                        </w:r>
                      </w:p>
                      <w:p w:rsidR="006D5246" w:rsidRDefault="006D524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האישור לא יינתן אלא לאחר שנוכח בית המשפט או בית הדין שבני הזוג עשו</w:t>
                        </w:r>
                      </w:p>
                      <w:p w:rsidR="006D5246" w:rsidRDefault="006D524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ההסכם או את השינוי בהסכמה חפשית ובהבינם את משמעותו ואת תוצאותיו.</w:t>
                        </w:r>
                      </w:p>
                      <w:p w:rsidR="006D5246" w:rsidRDefault="006D524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בהסכם ממון שנכרת לפני הנישואין או בשעת עריכתם יכול אימות רושם</w:t>
                        </w:r>
                      </w:p>
                      <w:p w:rsidR="006D5246" w:rsidRDefault="006D524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הנישואין לבוא במקום אישור בית המשפט או בית הדין.</w:t>
                        </w:r>
                      </w:p>
                      <w:p w:rsidR="006D5246" w:rsidRDefault="006D524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הסכם בין בני הזוג שאושר בפסק דין גירושין על ידי בית הדין, דינו כדין</w:t>
                        </w:r>
                      </w:p>
                      <w:p w:rsidR="006D5246" w:rsidRPr="00E12944" w:rsidRDefault="006D524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הסכם ממון שאושר לפי סעיף זה.</w:t>
                        </w:r>
                      </w:p>
                    </w:tc>
                  </w:tr>
                </w:tbl>
                <w:p w:rsidR="006D5246" w:rsidRDefault="006D5246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5315" o:spid="_x0000_s1030" type="#_x0000_t202" style="position:absolute;left:0;text-align:left;margin-left:286.9pt;margin-top:152.2pt;width:143.75pt;height:18pt;z-index:2;mso-position-horizontal-relative:page;mso-position-vertical-relative:page" stroked="f">
            <v:textbox style="mso-next-textbox:#_x0000_s5315" inset="0,0,0,0">
              <w:txbxContent>
                <w:p w:rsidR="006D5246" w:rsidRPr="00E12944" w:rsidRDefault="006D5246">
                  <w:pPr>
                    <w:pStyle w:val="OCRStyle1"/>
                    <w:ind w:left="151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פרק ראשון: הסדר מוסכם</w:t>
                  </w:r>
                </w:p>
              </w:txbxContent>
            </v:textbox>
            <w10:wrap anchorx="page" anchory="page"/>
          </v:shape>
        </w:pict>
      </w:r>
      <w:r>
        <w:pict>
          <v:shape id="_x0000_s5316" o:spid="_x0000_s1031" type="#_x0000_t202" style="position:absolute;left:0;text-align:left;margin-left:251.7pt;margin-top:116.15pt;width:222.15pt;height:26.55pt;z-index:1;mso-position-horizontal-relative:page;mso-position-vertical-relative:page" stroked="f">
            <v:textbox style="mso-next-textbox:#_x0000_s5316" inset="0,0,0,0">
              <w:txbxContent>
                <w:p w:rsidR="006D5246" w:rsidRPr="00E12944" w:rsidRDefault="006D5246">
                  <w:pPr>
                    <w:pStyle w:val="OCRStyle1"/>
                    <w:ind w:left="209"/>
                    <w:rPr>
                      <w:sz w:val="30"/>
                      <w:szCs w:val="30"/>
                    </w:rPr>
                  </w:pPr>
                  <w:r>
                    <w:rPr>
                      <w:sz w:val="30"/>
                      <w:szCs w:val="30"/>
                      <w:rtl/>
                    </w:rPr>
                    <w:t>חוק יחסי ממון בין בני זוג, תשל"ג-1973 *</w:t>
                  </w:r>
                </w:p>
              </w:txbxContent>
            </v:textbox>
            <w10:wrap anchorx="page" anchory="page"/>
          </v:shape>
        </w:pict>
      </w:r>
    </w:p>
    <w:p w:rsidR="00480184" w:rsidRDefault="00480184">
      <w:pPr>
        <w:rPr>
          <w:rtl/>
        </w:rPr>
      </w:pPr>
      <w:r>
        <w:rPr>
          <w:rtl/>
        </w:rPr>
        <w:br w:type="page"/>
      </w:r>
    </w:p>
    <w:p w:rsidR="00480184" w:rsidRDefault="00000000">
      <w:pPr>
        <w:rPr>
          <w:rtl/>
        </w:rPr>
      </w:pPr>
      <w:r>
        <w:pict>
          <v:shape id="_x0000_s5317" o:spid="_x0000_s1032" type="#_x0000_t202" style="position:absolute;left:0;text-align:left;margin-left:50pt;margin-top:771.95pt;width:495.35pt;height:30pt;z-index:12;mso-position-horizontal-relative:page;mso-position-vertical-relative:page" stroked="f">
            <v:textbox style="mso-next-textbox:#_x0000_s5317" inset="0,0,0,0">
              <w:txbxContent>
                <w:p w:rsidR="006D5246" w:rsidRDefault="006D5246">
                  <w:r>
                    <w:rPr>
                      <w:rtl/>
                    </w:rPr>
                    <w:t>268                                          ספר החוקים 712                     ה' באב התשל"ג 03.08.1973</w:t>
                  </w:r>
                </w:p>
              </w:txbxContent>
            </v:textbox>
            <w10:wrap anchorx="page" anchory="page"/>
          </v:shape>
        </w:pict>
      </w:r>
      <w:r>
        <w:pict>
          <v:shape id="_x0000_s5318" o:spid="_x0000_s1033" type="#_x0000_t202" style="position:absolute;left:0;text-align:left;margin-left:76.4pt;margin-top:731.45pt;width:146.3pt;height:19pt;z-index:11;mso-position-horizontal-relative:page;mso-position-vertical-relative:page" stroked="f">
            <v:textbox style="mso-next-textbox:#_x0000_s5318" inset="0,0,0,0">
              <w:txbxContent>
                <w:p w:rsidR="006D5246" w:rsidRDefault="006D5246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5319" o:spid="_x0000_s1034" type="#_x0000_t202" style="position:absolute;left:0;text-align:left;margin-left:74.65pt;margin-top:511.1pt;width:452.85pt;height:213.45pt;z-index:10;mso-position-horizontal-relative:page;mso-position-vertical-relative:page" stroked="f">
            <v:textbox style="mso-next-textbox:#_x0000_s5319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954"/>
                    <w:gridCol w:w="1281"/>
                  </w:tblGrid>
                  <w:tr w:rsidR="006D5246" w:rsidRPr="00480184">
                    <w:trPr>
                      <w:jc w:val="right"/>
                    </w:trPr>
                    <w:tc>
                      <w:tcPr>
                        <w:tcW w:w="4222" w:type="pct"/>
                      </w:tcPr>
                      <w:p w:rsidR="006D5246" w:rsidRDefault="006D5246">
                        <w:pPr>
                          <w:pStyle w:val="OCRStyle2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11, עשה אחד מבני הזוג פעולה שיש בה כדי לסכל זכות או זכות עתידה של בן הזוג השני</w:t>
                        </w:r>
                      </w:p>
                      <w:p w:rsidR="006D5246" w:rsidRDefault="006D524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פי הסכם ממון או על פי הסדר איזון המשאבים, או שקיים חשש סביר שהוא עומד</w:t>
                        </w:r>
                      </w:p>
                      <w:p w:rsidR="006D5246" w:rsidRDefault="006D524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לעשות פעולה כזאת, רשאי בית המשפט או בית הדין, לפי בקשת בן הזוג השני, לנקוט</w:t>
                        </w:r>
                      </w:p>
                      <w:p w:rsidR="006D5246" w:rsidRDefault="006D524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אמצעים לשמירת הזכות האמורה, ובין השאר רשאי הוא לעשות אחת או יותר מאלה-.</w:t>
                        </w:r>
                      </w:p>
                      <w:p w:rsidR="006D5246" w:rsidRDefault="006D524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לצוות על מתן ידיעות ועל מתן ערובה;</w:t>
                        </w:r>
                      </w:p>
                      <w:p w:rsidR="006D5246" w:rsidRDefault="006D524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לקבוע פעולות שיהיו טעונות הסכמת שני בני הזוג;</w:t>
                        </w:r>
                      </w:p>
                      <w:p w:rsidR="006D5246" w:rsidRDefault="006D524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לצוות על רישום הערה מתאימה בפנקס המתנהל על פי חוק שרשום בו</w:t>
                        </w:r>
                      </w:p>
                      <w:p w:rsidR="006D5246" w:rsidRPr="00480184" w:rsidRDefault="006D524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נכס של אחד מבני הזוג.</w:t>
                        </w:r>
                      </w:p>
                    </w:tc>
                    <w:tc>
                      <w:tcPr>
                        <w:tcW w:w="778" w:type="pct"/>
                      </w:tcPr>
                      <w:p w:rsidR="006D5246" w:rsidRDefault="006D524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אמצעים לשמירת</w:t>
                        </w:r>
                      </w:p>
                      <w:p w:rsidR="006D5246" w:rsidRPr="00480184" w:rsidRDefault="006D524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זכויות</w:t>
                        </w:r>
                      </w:p>
                    </w:tc>
                  </w:tr>
                  <w:tr w:rsidR="006D5246" w:rsidRPr="00480184">
                    <w:trPr>
                      <w:jc w:val="right"/>
                    </w:trPr>
                    <w:tc>
                      <w:tcPr>
                        <w:tcW w:w="4222" w:type="pct"/>
                      </w:tcPr>
                      <w:p w:rsidR="006D5246" w:rsidRDefault="006D524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12. היתה פעולה של אחד מבני הזוג טעונה, לפי הסכם ממון או לפי צו בהתאם לסעיף</w:t>
                        </w:r>
                      </w:p>
                      <w:p w:rsidR="006D5246" w:rsidRDefault="006D524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11)2(, הסכמת בן הזוג השני ואותו בן זוג סירב להסכים, רשאי בית המשפט או בית הדין</w:t>
                        </w:r>
                      </w:p>
                      <w:p w:rsidR="006D5246" w:rsidRDefault="006D524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לאשר את הפעולה אם ראה שהסירוב היה שרירותי; לא יכול היה בן הזוג השני להביע</w:t>
                        </w:r>
                      </w:p>
                      <w:p w:rsidR="006D5246" w:rsidRDefault="006D524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דעתו או שלא היתה אפשרות סבירה לברר דעתו, רשאי בית המשפט או בית הדין לאשר את</w:t>
                        </w:r>
                      </w:p>
                      <w:p w:rsidR="006D5246" w:rsidRPr="00480184" w:rsidRDefault="006D524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הפעולה אם ראה שהיא לטובת המשפחה.</w:t>
                        </w:r>
                      </w:p>
                    </w:tc>
                    <w:tc>
                      <w:tcPr>
                        <w:tcW w:w="778" w:type="pct"/>
                      </w:tcPr>
                      <w:p w:rsidR="006D5246" w:rsidRDefault="006D524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אישור למעולה</w:t>
                        </w:r>
                      </w:p>
                      <w:p w:rsidR="006D5246" w:rsidRPr="00480184" w:rsidRDefault="006D524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טעונת הסכמה</w:t>
                        </w:r>
                      </w:p>
                    </w:tc>
                  </w:tr>
                </w:tbl>
                <w:p w:rsidR="006D5246" w:rsidRDefault="006D5246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5320" o:spid="_x0000_s1035" type="#_x0000_t202" style="position:absolute;left:0;text-align:left;margin-left:179.75pt;margin-top:486.15pt;width:175.65pt;height:18pt;z-index:9;mso-position-horizontal-relative:page;mso-position-vertical-relative:page" stroked="f">
            <v:textbox style="mso-next-textbox:#_x0000_s5320" inset="0,0,0,0">
              <w:txbxContent>
                <w:p w:rsidR="006D5246" w:rsidRPr="00480184" w:rsidRDefault="006D5246">
                  <w:pPr>
                    <w:pStyle w:val="OCRStyle2"/>
                    <w:ind w:left="248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פרק שלישי: הוראות לכל הסדר</w:t>
                  </w:r>
                </w:p>
              </w:txbxContent>
            </v:textbox>
            <w10:wrap anchorx="page" anchory="page"/>
          </v:shape>
        </w:pict>
      </w:r>
      <w:r>
        <w:pict>
          <v:shape id="_x0000_s5321" o:spid="_x0000_s1036" type="#_x0000_t202" style="position:absolute;left:0;text-align:left;margin-left:76.4pt;margin-top:88.35pt;width:456.2pt;height:389.05pt;z-index:8;mso-position-horizontal-relative:page;mso-position-vertical-relative:page" stroked="f">
            <v:textbox style="mso-next-textbox:#_x0000_s5321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45"/>
                    <w:gridCol w:w="1249"/>
                  </w:tblGrid>
                  <w:tr w:rsidR="006D5246">
                    <w:trPr>
                      <w:jc w:val="right"/>
                    </w:trPr>
                    <w:tc>
                      <w:tcPr>
                        <w:tcW w:w="4247" w:type="pct"/>
                      </w:tcPr>
                      <w:p w:rsidR="006D5246" w:rsidRDefault="006D524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באין הסכמה בין בגי הזוג בשאלה מה מגיע מהאחד לשני או באיזו דרך יבוצע</w:t>
                        </w:r>
                      </w:p>
                      <w:p w:rsidR="006D5246" w:rsidRDefault="006D524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האיזון, יחליט בית המשפט או בית הדין לפי הנסיבות, ורשאי הוא לקבוע מועדי הביצוע,</w:t>
                        </w:r>
                      </w:p>
                      <w:p w:rsidR="006D5246" w:rsidRDefault="006D524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הבטחתו ושאר תנאיו, לרבות תוספת ריבית במקרה של ארכה או סילוק כשיעורים.</w:t>
                        </w:r>
                      </w:p>
                    </w:tc>
                    <w:tc>
                      <w:tcPr>
                        <w:tcW w:w="753" w:type="pct"/>
                      </w:tcPr>
                      <w:p w:rsidR="006D5246" w:rsidRDefault="006D5246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6D5246" w:rsidRPr="00480184">
                    <w:trPr>
                      <w:jc w:val="right"/>
                    </w:trPr>
                    <w:tc>
                      <w:tcPr>
                        <w:tcW w:w="4247" w:type="pct"/>
                      </w:tcPr>
                      <w:p w:rsidR="006D5246" w:rsidRDefault="006D524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7, נכס שבן זוג הוציא או התחייב להוציא מרשותו בכוונה לסכל זכותו של בן זוגו לפי</w:t>
                        </w:r>
                      </w:p>
                      <w:p w:rsidR="006D5246" w:rsidRDefault="006D524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5, ונכם שנתן או התחייב לתת במתנה - למעט מתנות ותרומות הניתנות לפי הנהוג</w:t>
                        </w:r>
                      </w:p>
                      <w:p w:rsidR="006D5246" w:rsidRDefault="006D524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בנסיבות הענין - רשאי בית המשפט או בית הדין לראותו, לצורך איזון המשאבים, כאילו</w:t>
                        </w:r>
                      </w:p>
                      <w:p w:rsidR="006D5246" w:rsidRDefault="006D524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הוא עדיין של אותו בן-זוג.</w:t>
                        </w:r>
                      </w:p>
                    </w:tc>
                    <w:tc>
                      <w:tcPr>
                        <w:tcW w:w="753" w:type="pct"/>
                      </w:tcPr>
                      <w:p w:rsidR="006D5246" w:rsidRDefault="006D524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הרחבת בסיס</w:t>
                        </w:r>
                      </w:p>
                      <w:p w:rsidR="006D5246" w:rsidRPr="00480184" w:rsidRDefault="006D524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האיזון</w:t>
                        </w:r>
                      </w:p>
                    </w:tc>
                  </w:tr>
                  <w:tr w:rsidR="006D5246" w:rsidRPr="00480184">
                    <w:trPr>
                      <w:jc w:val="right"/>
                    </w:trPr>
                    <w:tc>
                      <w:tcPr>
                        <w:tcW w:w="4247" w:type="pct"/>
                      </w:tcPr>
                      <w:p w:rsidR="006D5246" w:rsidRDefault="006D524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8. ראה בית המשפט או בית הדין נסיבות מיוחדות המצדיקות זאת, רשאי הוא, לבקשת</w:t>
                        </w:r>
                      </w:p>
                      <w:p w:rsidR="006D5246" w:rsidRDefault="006D524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אחד מבני הזוג שהוגשה לאחר פקיעת הנישואין - אם לא נפסק בדבר יחסי הממון בפסק דין</w:t>
                        </w:r>
                      </w:p>
                      <w:p w:rsidR="006D5246" w:rsidRDefault="006D524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גירושין - לעשות אחת או יותר מאלה:</w:t>
                        </w:r>
                      </w:p>
                      <w:p w:rsidR="006D5246" w:rsidRDefault="006D524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לקבוע נכסים נוספים על המפורטים בסעיף 5 ששוויים לא יאוזן בין בני</w:t>
                        </w:r>
                      </w:p>
                      <w:p w:rsidR="006D5246" w:rsidRDefault="006D524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הזוג:</w:t>
                        </w:r>
                      </w:p>
                      <w:p w:rsidR="006D5246" w:rsidRDefault="006D524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לקבוע שאיזון שווי הנכסים, כולם או מקצתם, לא יהיה מחצה על מחצה,</w:t>
                        </w:r>
                      </w:p>
                      <w:p w:rsidR="006D5246" w:rsidRDefault="006D524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אלא לפי יחס אחר שיקבע;</w:t>
                        </w:r>
                      </w:p>
                      <w:p w:rsidR="006D5246" w:rsidRDefault="006D524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לקבוע שאיזון שווי הנכסים, כולם או מקצתם, לא יהיה לכי שוויים</w:t>
                        </w:r>
                      </w:p>
                      <w:p w:rsidR="006D5246" w:rsidRDefault="006D524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בשעת פקיעת הנישואין, אלא לפי שוויים במועד מוקדם יותר שיקבע;</w:t>
                        </w:r>
                      </w:p>
                      <w:p w:rsidR="006D5246" w:rsidRDefault="006D524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לקבוע שאיזון המשאבים לא יתייחס לנכסים שהיו לבני הזוג בזמן פקיעת</w:t>
                        </w:r>
                      </w:p>
                      <w:p w:rsidR="006D5246" w:rsidRPr="00480184" w:rsidRDefault="006D524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הנישואין אלא לנכסים שהיו להם כמועד מוקדם יותר שיקבע.</w:t>
                        </w:r>
                      </w:p>
                    </w:tc>
                    <w:tc>
                      <w:tcPr>
                        <w:tcW w:w="753" w:type="pct"/>
                      </w:tcPr>
                      <w:p w:rsidR="006D5246" w:rsidRPr="00480184" w:rsidRDefault="006D524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סמכויות מיוחדות</w:t>
                        </w:r>
                      </w:p>
                    </w:tc>
                  </w:tr>
                  <w:tr w:rsidR="006D5246" w:rsidRPr="00480184">
                    <w:trPr>
                      <w:jc w:val="right"/>
                    </w:trPr>
                    <w:tc>
                      <w:tcPr>
                        <w:tcW w:w="4247" w:type="pct"/>
                      </w:tcPr>
                      <w:p w:rsidR="006D5246" w:rsidRDefault="006D524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9, ראיה על היות נכס בבעלותו או בהחזקתו של אחד מבני הזוג או על היותו רשום על</w:t>
                        </w:r>
                      </w:p>
                      <w:p w:rsidR="006D5246" w:rsidRDefault="006D524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שמו, אין בה בלבד כדי לצאת ידי נטל ההוכחה שיש למעט נכס זה מן הנכסים ששויים יאוזן</w:t>
                        </w:r>
                      </w:p>
                      <w:p w:rsidR="006D5246" w:rsidRPr="00480184" w:rsidRDefault="006D524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בין בני הזוג.</w:t>
                        </w:r>
                      </w:p>
                    </w:tc>
                    <w:tc>
                      <w:tcPr>
                        <w:tcW w:w="753" w:type="pct"/>
                      </w:tcPr>
                      <w:p w:rsidR="006D5246" w:rsidRPr="00480184" w:rsidRDefault="006D524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ראיות</w:t>
                        </w:r>
                      </w:p>
                    </w:tc>
                  </w:tr>
                  <w:tr w:rsidR="006D5246" w:rsidRPr="00480184">
                    <w:trPr>
                      <w:jc w:val="right"/>
                    </w:trPr>
                    <w:tc>
                      <w:tcPr>
                        <w:tcW w:w="4247" w:type="pct"/>
                      </w:tcPr>
                      <w:p w:rsidR="006D5246" w:rsidRDefault="006D524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10, כל עוד לא פקעו הנישואין, זכותו של כן זוג לאיזון המשאבים אינה ניתנת להעברה,</w:t>
                        </w:r>
                      </w:p>
                      <w:p w:rsidR="006D5246" w:rsidRPr="00480184" w:rsidRDefault="006D524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לשיעבוד או לעיקול.</w:t>
                        </w:r>
                      </w:p>
                    </w:tc>
                    <w:tc>
                      <w:tcPr>
                        <w:tcW w:w="753" w:type="pct"/>
                      </w:tcPr>
                      <w:p w:rsidR="006D5246" w:rsidRDefault="006D524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עסקאות בזכות</w:t>
                        </w:r>
                      </w:p>
                      <w:p w:rsidR="006D5246" w:rsidRPr="00480184" w:rsidRDefault="006D524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לאיזון</w:t>
                        </w:r>
                      </w:p>
                    </w:tc>
                  </w:tr>
                </w:tbl>
                <w:p w:rsidR="006D5246" w:rsidRDefault="006D5246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6D5246" w:rsidRDefault="006D5246">
      <w:pPr>
        <w:rPr>
          <w:rtl/>
        </w:rPr>
      </w:pPr>
      <w:r>
        <w:rPr>
          <w:rtl/>
        </w:rPr>
        <w:br w:type="page"/>
      </w:r>
    </w:p>
    <w:p w:rsidR="006D5246" w:rsidRDefault="00000000">
      <w:pPr>
        <w:rPr>
          <w:rtl/>
        </w:rPr>
      </w:pPr>
      <w:r>
        <w:pict>
          <v:shape id="_x0000_s5322" o:spid="_x0000_s1037" type="#_x0000_t202" style="position:absolute;left:0;text-align:left;margin-left:50pt;margin-top:771.95pt;width:495.35pt;height:30pt;z-index:19;mso-position-horizontal-relative:page;mso-position-vertical-relative:page" stroked="f">
            <v:textbox style="mso-next-textbox:#_x0000_s5322" inset="0,0,0,0">
              <w:txbxContent>
                <w:p w:rsidR="006D5246" w:rsidRDefault="006D5246">
                  <w:r>
                    <w:rPr>
                      <w:rtl/>
                    </w:rPr>
                    <w:t>269                                          ספר החוקים 712                     ה' באב התשל"ג 03.08.1973</w:t>
                  </w:r>
                </w:p>
              </w:txbxContent>
            </v:textbox>
            <w10:wrap anchorx="page" anchory="page"/>
          </v:shape>
        </w:pict>
      </w:r>
      <w:r>
        <w:pict>
          <v:shape id="_x0000_s5323" o:spid="_x0000_s1038" type="#_x0000_t202" style="position:absolute;left:0;text-align:left;margin-left:395.1pt;margin-top:698.4pt;width:160.2pt;height:74.85pt;z-index:18;mso-position-horizontal-relative:page;mso-position-vertical-relative:page" stroked="f">
            <v:textbox style="mso-next-textbox:#_x0000_s5323" inset="0,0,0,0">
              <w:txbxContent>
                <w:p w:rsidR="006D5246" w:rsidRDefault="006D5246">
                  <w:pPr>
                    <w:pStyle w:val="OCRStyle3"/>
                    <w:ind w:left="396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תשכ"ה, עמ' 70,</w:t>
                  </w:r>
                </w:p>
                <w:p w:rsidR="006D5246" w:rsidRDefault="006D5246">
                  <w:pPr>
                    <w:pStyle w:val="OCRStyle3"/>
                    <w:ind w:left="450"/>
                    <w:rPr>
                      <w:rtl/>
                    </w:rPr>
                  </w:pPr>
                  <w:r>
                    <w:rPr>
                      <w:rtl/>
                    </w:rPr>
                    <w:t>2 ס"ח תשי"ט, עמ' 72.</w:t>
                  </w:r>
                </w:p>
                <w:p w:rsidR="006D5246" w:rsidRPr="006D5246" w:rsidRDefault="006D5246">
                  <w:pPr>
                    <w:pStyle w:val="OCRStyle3"/>
                    <w:ind w:left="454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3 ס"ח תשכ"ט, עמ'  259.</w:t>
                  </w:r>
                </w:p>
              </w:txbxContent>
            </v:textbox>
            <w10:wrap anchorx="page" anchory="page"/>
          </v:shape>
        </w:pict>
      </w:r>
      <w:r>
        <w:pict>
          <v:shape id="_x0000_s5324" o:spid="_x0000_s1039" type="#_x0000_t202" style="position:absolute;left:0;text-align:left;margin-left:172.15pt;margin-top:607.1pt;width:113.65pt;height:32.65pt;z-index:17;mso-position-horizontal-relative:page;mso-position-vertical-relative:page" stroked="f">
            <v:textbox style="mso-next-textbox:#_x0000_s5324" inset="0,0,0,0">
              <w:txbxContent>
                <w:p w:rsidR="006D5246" w:rsidRDefault="006D5246">
                  <w:pPr>
                    <w:pStyle w:val="OCRStyle3"/>
                    <w:ind w:left="115"/>
                    <w:rPr>
                      <w:rtl/>
                    </w:rPr>
                  </w:pPr>
                  <w:r>
                    <w:rPr>
                      <w:rtl/>
                    </w:rPr>
                    <w:t>יעקב ש' שפירא</w:t>
                  </w:r>
                </w:p>
                <w:p w:rsidR="006D5246" w:rsidRDefault="006D5246">
                  <w:pPr>
                    <w:pStyle w:val="OCRStyle3"/>
                    <w:ind w:left="436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5325" o:spid="_x0000_s1040" type="#_x0000_t202" style="position:absolute;left:0;text-align:left;margin-left:307.15pt;margin-top:607.1pt;width:100.8pt;height:32.65pt;z-index:16;mso-position-horizontal-relative:page;mso-position-vertical-relative:page" stroked="f">
            <v:textbox style="mso-next-textbox:#_x0000_s5325" inset="0,0,0,0">
              <w:txbxContent>
                <w:p w:rsidR="006D5246" w:rsidRDefault="006D5246">
                  <w:pPr>
                    <w:pStyle w:val="OCRStyle3"/>
                    <w:ind w:left="349"/>
                    <w:rPr>
                      <w:rtl/>
                    </w:rPr>
                  </w:pPr>
                  <w:r>
                    <w:rPr>
                      <w:rtl/>
                    </w:rPr>
                    <w:t>גולדה מאיר</w:t>
                  </w:r>
                </w:p>
                <w:p w:rsidR="006D5246" w:rsidRDefault="006D5246">
                  <w:pPr>
                    <w:pStyle w:val="OCRStyle3"/>
                    <w:ind w:left="457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326" o:spid="_x0000_s1041" type="#_x0000_t202" style="position:absolute;left:0;text-align:left;margin-left:465.55pt;margin-top:633.85pt;width:90.5pt;height:31.7pt;z-index:15;mso-position-horizontal-relative:page;mso-position-vertical-relative:page" stroked="f">
            <v:textbox style="mso-next-textbox:#_x0000_s5326" inset="0,0,0,0">
              <w:txbxContent>
                <w:p w:rsidR="006D5246" w:rsidRDefault="006D5246">
                  <w:pPr>
                    <w:pStyle w:val="OCRStyle3"/>
                    <w:ind w:left="234"/>
                    <w:rPr>
                      <w:rtl/>
                    </w:rPr>
                  </w:pPr>
                  <w:r>
                    <w:rPr>
                      <w:rtl/>
                    </w:rPr>
                    <w:t>אפרים קציר</w:t>
                  </w:r>
                </w:p>
                <w:p w:rsidR="006D5246" w:rsidRDefault="006D5246">
                  <w:pPr>
                    <w:pStyle w:val="OCRStyle3"/>
                    <w:ind w:left="223"/>
                  </w:pPr>
                  <w:r>
                    <w:rPr>
                      <w:rtl/>
                    </w:rPr>
                    <w:t xml:space="preserve"> 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327" o:spid="_x0000_s1042" type="#_x0000_t202" style="position:absolute;left:0;text-align:left;margin-left:98.1pt;margin-top:146.55pt;width:460.55pt;height:451.85pt;z-index:14;mso-position-horizontal-relative:page;mso-position-vertical-relative:page" stroked="f">
            <v:textbox style="mso-next-textbox:#_x0000_s5327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49"/>
                    <w:gridCol w:w="7124"/>
                  </w:tblGrid>
                  <w:tr w:rsidR="006D5246" w:rsidRPr="006D5246">
                    <w:trPr>
                      <w:jc w:val="right"/>
                    </w:trPr>
                    <w:tc>
                      <w:tcPr>
                        <w:tcW w:w="746" w:type="pct"/>
                      </w:tcPr>
                      <w:p w:rsidR="006D5246" w:rsidRPr="006D5246" w:rsidRDefault="006D5246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החוק ובתי הדין</w:t>
                        </w:r>
                      </w:p>
                    </w:tc>
                    <w:tc>
                      <w:tcPr>
                        <w:tcW w:w="4254" w:type="pct"/>
                      </w:tcPr>
                      <w:p w:rsidR="006D5246" w:rsidRDefault="006D5246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13. (א) חוק זה אינו בא לשנות מסמכות שימוטט של בתי הדין הדתיים.</w:t>
                        </w:r>
                      </w:p>
                      <w:p w:rsidR="006D5246" w:rsidRDefault="006D524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 (ב) בענין שחוק זה דן בו ינהג גם בית דין דתי לפי הוראות חוק זה, זולת אם הסכימו</w:t>
                        </w:r>
                      </w:p>
                      <w:p w:rsidR="006D5246" w:rsidRPr="006D5246" w:rsidRDefault="006D524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כעלי הדין לפני בית הדין להתדיין לפי הדין הדתי.</w:t>
                        </w:r>
                      </w:p>
                    </w:tc>
                  </w:tr>
                  <w:tr w:rsidR="006D5246" w:rsidRPr="006D5246">
                    <w:trPr>
                      <w:jc w:val="right"/>
                    </w:trPr>
                    <w:tc>
                      <w:tcPr>
                        <w:tcW w:w="746" w:type="pct"/>
                      </w:tcPr>
                      <w:p w:rsidR="006D5246" w:rsidRPr="006D5246" w:rsidRDefault="006D5246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הוראות מעבר</w:t>
                        </w:r>
                      </w:p>
                    </w:tc>
                    <w:tc>
                      <w:tcPr>
                        <w:tcW w:w="4254" w:type="pct"/>
                      </w:tcPr>
                      <w:p w:rsidR="006D5246" w:rsidRDefault="006D5246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14. סעיף 3 ושאר הוראות הפרק השני לא יחולו על בני זוג שנישאו זה לזה לפני תחילת</w:t>
                        </w:r>
                      </w:p>
                      <w:p w:rsidR="006D5246" w:rsidRPr="006D5246" w:rsidRDefault="006D524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חוק זה. </w:t>
                        </w:r>
                      </w:p>
                    </w:tc>
                  </w:tr>
                  <w:tr w:rsidR="006D5246" w:rsidRPr="006D5246">
                    <w:trPr>
                      <w:jc w:val="right"/>
                    </w:trPr>
                    <w:tc>
                      <w:tcPr>
                        <w:tcW w:w="746" w:type="pct"/>
                      </w:tcPr>
                      <w:p w:rsidR="006D5246" w:rsidRDefault="006D5246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משפט בינלאומי</w:t>
                        </w:r>
                      </w:p>
                      <w:p w:rsidR="006D5246" w:rsidRPr="006D5246" w:rsidRDefault="006D5246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פרטי</w:t>
                        </w:r>
                      </w:p>
                    </w:tc>
                    <w:tc>
                      <w:tcPr>
                        <w:tcW w:w="4254" w:type="pct"/>
                      </w:tcPr>
                      <w:p w:rsidR="006D5246" w:rsidRDefault="006D5246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15. על יחסי הממון בין בני זוג יחול חוק מושבם כשעת עריכת הנישואין, אולם רשאים</w:t>
                        </w:r>
                      </w:p>
                      <w:p w:rsidR="006D5246" w:rsidRPr="006D5246" w:rsidRDefault="006D524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הם בהסכם לקבוע ולשנות יחסים אלה בהתאם לחוק מושבם בשעת עשיית ההסכם.</w:t>
                        </w:r>
                      </w:p>
                    </w:tc>
                  </w:tr>
                  <w:tr w:rsidR="006D5246" w:rsidRPr="006D5246">
                    <w:trPr>
                      <w:jc w:val="right"/>
                    </w:trPr>
                    <w:tc>
                      <w:tcPr>
                        <w:tcW w:w="746" w:type="pct"/>
                      </w:tcPr>
                      <w:p w:rsidR="006D5246" w:rsidRDefault="006D5246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חזק</w:t>
                        </w:r>
                      </w:p>
                      <w:p w:rsidR="006D5246" w:rsidRPr="006D5246" w:rsidRDefault="006D5246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הירושה</w:t>
                        </w:r>
                      </w:p>
                    </w:tc>
                    <w:tc>
                      <w:tcPr>
                        <w:tcW w:w="4254" w:type="pct"/>
                      </w:tcPr>
                      <w:p w:rsidR="006D5246" w:rsidRDefault="006D5246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16. בחוק הירושה, תשכ"ה-1965 1-</w:t>
                        </w:r>
                      </w:p>
                      <w:p w:rsidR="006D5246" w:rsidRDefault="006D524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11(ב), אחרי "בבעלות משותפת של שניהם" יבוא "או שהגיע</w:t>
                        </w:r>
                      </w:p>
                      <w:p w:rsidR="006D5246" w:rsidRDefault="006D524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במות אחד מהם לנשאר כחיים מחצית שוויים של כל נכסי שניהם או של מר-</w:t>
                        </w:r>
                      </w:p>
                      <w:p w:rsidR="006D5246" w:rsidRDefault="006D524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ביתם לפי שוויים, אם על פי דין ואם על פי הסכם ביניהם"; </w:t>
                        </w:r>
                      </w:p>
                      <w:p w:rsidR="006D5246" w:rsidRDefault="006D524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11(ג), במקום "הוראה זו אינה באה לפגוע" יבוא "הוראה זו לא</w:t>
                        </w:r>
                      </w:p>
                      <w:p w:rsidR="006D5246" w:rsidRDefault="006D524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תחול על מה שמגיע לבן זוג לסי חוק יחסי ממון בין בני זוג, תשל"ג-1973,</w:t>
                        </w:r>
                      </w:p>
                      <w:p w:rsidR="006D5246" w:rsidRDefault="006D524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לפי הסכם ממון כמשמעותו באותו חוק, ואינה באה לפגוע";</w:t>
                        </w:r>
                      </w:p>
                      <w:p w:rsidR="006D5246" w:rsidRDefault="006D524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בסעיף 104(א40), בסופו יבוא "והמגיע לבן זוג לפי חוק יחסי ממון בין</w:t>
                        </w:r>
                      </w:p>
                      <w:p w:rsidR="006D5246" w:rsidRPr="006D5246" w:rsidRDefault="006D524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בני זוג, תשל"ג-1973, או לפי הסכם ממון כמשמעותו כאותו חוק".</w:t>
                        </w:r>
                      </w:p>
                    </w:tc>
                  </w:tr>
                  <w:tr w:rsidR="006D5246" w:rsidRPr="006D5246">
                    <w:trPr>
                      <w:jc w:val="right"/>
                    </w:trPr>
                    <w:tc>
                      <w:tcPr>
                        <w:tcW w:w="746" w:type="pct"/>
                      </w:tcPr>
                      <w:p w:rsidR="006D5246" w:rsidRDefault="006D5246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שמירת זכויות</w:t>
                        </w:r>
                      </w:p>
                      <w:p w:rsidR="006D5246" w:rsidRPr="006D5246" w:rsidRDefault="006D5246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ודינים</w:t>
                        </w:r>
                      </w:p>
                    </w:tc>
                    <w:tc>
                      <w:tcPr>
                        <w:tcW w:w="4254" w:type="pct"/>
                      </w:tcPr>
                      <w:p w:rsidR="006D5246" w:rsidRDefault="006D5246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17. אין בחוק זה כדי לגרוע מזכויות לפי חוק לתיקון דיני המשפחה (מזונות), תשי"ט-</w:t>
                        </w:r>
                      </w:p>
                      <w:p w:rsidR="006D5246" w:rsidRDefault="006D524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21959, או מזכויות האשה לפי כתובתה, ואין בו כדי לגרוע מהוראות סעיף 101 לחוק</w:t>
                        </w:r>
                      </w:p>
                      <w:p w:rsidR="006D5246" w:rsidRPr="006D5246" w:rsidRDefault="006D524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המקרקעין, תשכ"ט-1969 3.</w:t>
                        </w:r>
                      </w:p>
                    </w:tc>
                  </w:tr>
                  <w:tr w:rsidR="006D5246" w:rsidRPr="006D5246">
                    <w:trPr>
                      <w:jc w:val="right"/>
                    </w:trPr>
                    <w:tc>
                      <w:tcPr>
                        <w:tcW w:w="746" w:type="pct"/>
                      </w:tcPr>
                      <w:p w:rsidR="006D5246" w:rsidRPr="006D5246" w:rsidRDefault="006D5246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ביגיע ותקנות</w:t>
                        </w:r>
                      </w:p>
                    </w:tc>
                    <w:tc>
                      <w:tcPr>
                        <w:tcW w:w="4254" w:type="pct"/>
                      </w:tcPr>
                      <w:p w:rsidR="006D5246" w:rsidRPr="006D5246" w:rsidRDefault="006D524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18. שר המשפטים ממונה על ביצוע חוק זה, והוא רשאי להתקין תקנות לביצועו.</w:t>
                        </w:r>
                      </w:p>
                    </w:tc>
                  </w:tr>
                  <w:tr w:rsidR="006D5246" w:rsidRPr="006D5246">
                    <w:trPr>
                      <w:jc w:val="right"/>
                    </w:trPr>
                    <w:tc>
                      <w:tcPr>
                        <w:tcW w:w="746" w:type="pct"/>
                      </w:tcPr>
                      <w:p w:rsidR="006D5246" w:rsidRPr="006D5246" w:rsidRDefault="006D5246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תחילה</w:t>
                        </w:r>
                      </w:p>
                    </w:tc>
                    <w:tc>
                      <w:tcPr>
                        <w:tcW w:w="4254" w:type="pct"/>
                      </w:tcPr>
                      <w:p w:rsidR="006D5246" w:rsidRPr="006D5246" w:rsidRDefault="006D524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19. תחילתו של חוק זה ביום ז' בטבת תשל"ד (1 ביגואר 1974).</w:t>
                        </w:r>
                      </w:p>
                    </w:tc>
                  </w:tr>
                </w:tbl>
                <w:p w:rsidR="006D5246" w:rsidRDefault="006D5246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5328" o:spid="_x0000_s1043" type="#_x0000_t202" style="position:absolute;left:0;text-align:left;margin-left:288.35pt;margin-top:115.45pt;width:153.25pt;height:21.6pt;z-index:13;mso-position-horizontal-relative:page;mso-position-vertical-relative:page" stroked="f">
            <v:textbox style="mso-next-textbox:#_x0000_s5328" inset="0,0,0,0">
              <w:txbxContent>
                <w:p w:rsidR="006D5246" w:rsidRPr="006D5246" w:rsidRDefault="006D5246">
                  <w:pPr>
                    <w:pStyle w:val="OCRStyle3"/>
                    <w:ind w:left="126"/>
                    <w:rPr>
                      <w:sz w:val="26"/>
                      <w:szCs w:val="26"/>
                    </w:rPr>
                  </w:pPr>
                  <w:r>
                    <w:rPr>
                      <w:rtl/>
                    </w:rPr>
                    <w:t>פרק רביבי: הוראות שונות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E12944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12944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D3520FFD-0EB4-447B-AC75-1933FF5113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E12944"/>
    <w:rPr>
      <w:rFonts w:ascii="Arial" w:hAnsi="Arial" w:cs="Arial"/>
      <w:sz w:val="22"/>
      <w:szCs w:val="22"/>
    </w:rPr>
  </w:style>
  <w:style w:type="paragraph" w:customStyle="1" w:styleId="OCRStyle2">
    <w:name w:val="OCR Style #2"/>
    <w:basedOn w:val="a"/>
    <w:rsid w:val="00480184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6D5246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</Words>
  <Characters>24</Characters>
  <Application>Microsoft Office Word</Application>
  <DocSecurity>4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4</cp:revision>
  <dcterms:created xsi:type="dcterms:W3CDTF">2008-04-07T11:56:00Z</dcterms:created>
  <dcterms:modified xsi:type="dcterms:W3CDTF">2008-04-07T11:57:00Z</dcterms:modified>
</cp:coreProperties>
</file>