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86610" w:rsidRDefault="00A86610">
      <w:pPr>
        <w:rPr>
          <w:rtl/>
        </w:rPr>
      </w:pPr>
    </w:p>
    <w:p w:rsidR="00A8661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351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5351" inset="0,0,0,0">
              <w:txbxContent>
                <w:p w:rsidR="003E750E" w:rsidRDefault="003E750E">
                  <w:r>
                    <w:rPr>
                      <w:rtl/>
                    </w:rPr>
                    <w:t>135                                          ספר החוקים 231                  י"ט בתמוז התשי"ז 18.07.1957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5352" o:spid="_x0000_s1026" type="#_x0000_t202" style="position:absolute;left:0;text-align:left;margin-left:134.85pt;margin-top:738.85pt;width:435.8pt;height:72.25pt;z-index:3;mso-position-horizontal-relative:page;mso-position-vertical-relative:page" stroked="f">
            <v:textbox style="mso-next-textbox:#_x0000_s5352" inset="0,0,0,0">
              <w:txbxContent>
                <w:p w:rsidR="003E750E" w:rsidRDefault="003E750E">
                  <w:pPr>
                    <w:pStyle w:val="OCRStyle1"/>
                    <w:ind w:left="57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ט' בתמוז תשי"ז (8 ביולי 1957); הצעת החוק ודברי הסבר נתפרסמו בה"ח 305'</w:t>
                  </w:r>
                </w:p>
                <w:p w:rsidR="003E750E" w:rsidRDefault="003E750E">
                  <w:pPr>
                    <w:pStyle w:val="OCRStyle1"/>
                    <w:ind w:left="72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תשי"ז,  עמ' 222&gt;</w:t>
                  </w:r>
                </w:p>
                <w:p w:rsidR="003E750E" w:rsidRPr="00A86610" w:rsidRDefault="003E750E">
                  <w:pPr>
                    <w:pStyle w:val="OCRStyle1"/>
                    <w:ind w:left="55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1930, תוס' 1 מס' 589,  עמ' 153.</w:t>
                  </w:r>
                </w:p>
              </w:txbxContent>
            </v:textbox>
            <w10:wrap anchorx="page" anchory="page"/>
          </v:shape>
        </w:pict>
      </w:r>
      <w:r>
        <w:pict>
          <v:shape id="_x0000_s5353" o:spid="_x0000_s1027" type="#_x0000_t202" style="position:absolute;left:0;text-align:left;margin-left:90.5pt;margin-top:485.4pt;width:480.15pt;height:245.1pt;z-index:2;mso-position-horizontal-relative:page;mso-position-vertical-relative:page" stroked="f">
            <v:textbox style="mso-next-textbox:#_x0000_s5353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53"/>
                    <w:gridCol w:w="6045"/>
                    <w:gridCol w:w="1533"/>
                  </w:tblGrid>
                  <w:tr w:rsidR="003E750E" w:rsidRPr="00A86610">
                    <w:trPr>
                      <w:jc w:val="right"/>
                    </w:trPr>
                    <w:tc>
                      <w:tcPr>
                        <w:tcW w:w="660" w:type="pct"/>
                      </w:tcPr>
                      <w:p w:rsidR="003E750E" w:rsidRPr="00A86610" w:rsidRDefault="003E750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</w:t>
                        </w:r>
                      </w:p>
                    </w:tc>
                    <w:tc>
                      <w:tcPr>
                        <w:tcW w:w="4340" w:type="pct"/>
                        <w:gridSpan w:val="2"/>
                      </w:tcPr>
                      <w:p w:rsidR="003E750E" w:rsidRDefault="003E750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 .בסעיף 5 לפקודת בנין ערים, 1936  1 (להלן - הפקודה) -</w:t>
                        </w:r>
                      </w:p>
                      <w:p w:rsidR="003E750E" w:rsidRDefault="003E75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(א), אחרי "על ידי הועדה המקומית" יבוא "ויוזמים אחרים",</w:t>
                        </w:r>
                      </w:p>
                      <w:p w:rsidR="003E750E" w:rsidRDefault="003E75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ובסוף יבוא "לרבות הכנת תכנית לצרכי רישום בספרי האחוזה";</w:t>
                        </w:r>
                      </w:p>
                      <w:p w:rsidR="003E750E" w:rsidRDefault="003E75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(ג), אחרי המלים "תביעות להיזקות בנכסים שנפגעו על ידי תכנית"</w:t>
                        </w:r>
                      </w:p>
                      <w:p w:rsidR="003E750E" w:rsidRPr="00A86610" w:rsidRDefault="003E75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"או לפי סעיף 20 ו'/</w:t>
                        </w:r>
                      </w:p>
                    </w:tc>
                  </w:tr>
                  <w:tr w:rsidR="003E750E" w:rsidRPr="00A86610">
                    <w:trPr>
                      <w:jc w:val="right"/>
                    </w:trPr>
                    <w:tc>
                      <w:tcPr>
                        <w:tcW w:w="660" w:type="pct"/>
                      </w:tcPr>
                      <w:p w:rsidR="003E750E" w:rsidRPr="00A86610" w:rsidRDefault="003E750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14</w:t>
                        </w:r>
                      </w:p>
                    </w:tc>
                    <w:tc>
                      <w:tcPr>
                        <w:tcW w:w="4340" w:type="pct"/>
                        <w:gridSpan w:val="2"/>
                      </w:tcPr>
                      <w:p w:rsidR="003E750E" w:rsidRDefault="003E750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14 לפקודה, בסעיף קטן (2), בפסקה (יא), יימחקו המלים "וזה בהסכמתם</w:t>
                        </w:r>
                      </w:p>
                      <w:p w:rsidR="003E750E" w:rsidRPr="00A86610" w:rsidRDefault="003E75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הבעלים".</w:t>
                        </w:r>
                      </w:p>
                    </w:tc>
                  </w:tr>
                  <w:tr w:rsidR="003E750E" w:rsidRPr="00A86610">
                    <w:trPr>
                      <w:jc w:val="right"/>
                    </w:trPr>
                    <w:tc>
                      <w:tcPr>
                        <w:tcW w:w="660" w:type="pct"/>
                        <w:vMerge w:val="restart"/>
                      </w:tcPr>
                      <w:p w:rsidR="003E750E" w:rsidRDefault="003E750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הסעיפים</w:t>
                        </w:r>
                      </w:p>
                      <w:p w:rsidR="003E750E" w:rsidRPr="00A86610" w:rsidRDefault="003E750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20א-20ח</w:t>
                        </w:r>
                      </w:p>
                    </w:tc>
                    <w:tc>
                      <w:tcPr>
                        <w:tcW w:w="4340" w:type="pct"/>
                        <w:gridSpan w:val="2"/>
                      </w:tcPr>
                      <w:p w:rsidR="003E750E" w:rsidRPr="00A86610" w:rsidRDefault="003E75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 .    אחרי סעיף 20 לפקודה יבואו סעיפים אלה:</w:t>
                        </w:r>
                      </w:p>
                    </w:tc>
                  </w:tr>
                  <w:tr w:rsidR="003E750E" w:rsidRPr="00A86610">
                    <w:trPr>
                      <w:jc w:val="right"/>
                    </w:trPr>
                    <w:tc>
                      <w:tcPr>
                        <w:tcW w:w="660" w:type="pct"/>
                        <w:vMerge/>
                      </w:tcPr>
                      <w:p w:rsidR="003E750E" w:rsidRDefault="003E750E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62" w:type="pct"/>
                      </w:tcPr>
                      <w:p w:rsidR="003E750E" w:rsidRDefault="003E75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20א. הוצע בתכנית בנין עיר מפורטת לאחד מגרשים ולשוב ולחלק את</w:t>
                        </w:r>
                      </w:p>
                      <w:p w:rsidR="003E750E" w:rsidRDefault="003E75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המגרשים המאוחדים (להלן - חלוקה חדשה), ולא באה על החלוקה החדשה</w:t>
                        </w:r>
                      </w:p>
                      <w:p w:rsidR="003E750E" w:rsidRDefault="003E75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הסכמתם של בצלי כל המגרשים הנוגעים בדבר, יחולו הוראות מיוחדות</w:t>
                        </w:r>
                      </w:p>
                      <w:p w:rsidR="003E750E" w:rsidRDefault="003E75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אלה:</w:t>
                        </w:r>
                      </w:p>
                      <w:p w:rsidR="003E750E" w:rsidRDefault="003E75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כל מגרש שיוקצה יהיה קרוב, ככל האפשר, למקום שבו היה</w:t>
                        </w:r>
                      </w:p>
                      <w:p w:rsidR="003E750E" w:rsidRDefault="003E75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קודם מגרשו של מקבל ההקצאה;</w:t>
                        </w:r>
                      </w:p>
                    </w:tc>
                    <w:tc>
                      <w:tcPr>
                        <w:tcW w:w="878" w:type="pct"/>
                      </w:tcPr>
                      <w:p w:rsidR="003E750E" w:rsidRPr="00A86610" w:rsidRDefault="003E750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"חלוקת חדשה</w:t>
                        </w:r>
                      </w:p>
                    </w:tc>
                  </w:tr>
                </w:tbl>
                <w:p w:rsidR="003E750E" w:rsidRDefault="003E750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354" o:spid="_x0000_s1028" type="#_x0000_t202" style="position:absolute;left:0;text-align:left;margin-left:227.5pt;margin-top:459.45pt;width:281.15pt;height:25.75pt;z-index:1;mso-position-horizontal-relative:page;mso-position-vertical-relative:page" stroked="f">
            <v:textbox style="mso-next-textbox:#_x0000_s5354" inset="0,0,0,0">
              <w:txbxContent>
                <w:p w:rsidR="003E750E" w:rsidRPr="00A86610" w:rsidRDefault="003E750E">
                  <w:pPr>
                    <w:pStyle w:val="OCRStyle1"/>
                    <w:ind w:left="151"/>
                    <w:rPr>
                      <w:sz w:val="30"/>
                      <w:szCs w:val="30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בנין ערים, תשי"ז-1957 * -</w:t>
                  </w:r>
                </w:p>
              </w:txbxContent>
            </v:textbox>
            <w10:wrap anchorx="page" anchory="page"/>
          </v:shape>
        </w:pict>
      </w:r>
    </w:p>
    <w:p w:rsidR="002D0A1A" w:rsidRDefault="002D0A1A">
      <w:pPr>
        <w:rPr>
          <w:rtl/>
        </w:rPr>
      </w:pPr>
      <w:r>
        <w:rPr>
          <w:rtl/>
        </w:rPr>
        <w:br w:type="page"/>
      </w:r>
    </w:p>
    <w:p w:rsidR="002D0A1A" w:rsidRDefault="00000000">
      <w:pPr>
        <w:rPr>
          <w:rtl/>
        </w:rPr>
      </w:pPr>
      <w:r>
        <w:pict>
          <v:shape id="_x0000_s5355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5355" inset="0,0,0,0">
              <w:txbxContent>
                <w:p w:rsidR="003E750E" w:rsidRDefault="003E750E">
                  <w:r>
                    <w:rPr>
                      <w:rtl/>
                    </w:rPr>
                    <w:t>136                                          ספר החוקים 231                  י"ט בתמוז התשי"ז 18.07.1957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5356" o:spid="_x0000_s1030" type="#_x0000_t202" style="position:absolute;left:0;text-align:left;margin-left:72.6pt;margin-top:787.9pt;width:187.9pt;height:24.95pt;z-index:6;mso-position-horizontal-relative:page;mso-position-vertical-relative:page" stroked="f">
            <v:textbox style="mso-next-textbox:#_x0000_s5356" inset="0,0,0,0">
              <w:txbxContent>
                <w:p w:rsidR="003E750E" w:rsidRDefault="003E750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5357" o:spid="_x0000_s1031" type="#_x0000_t202" style="position:absolute;left:0;text-align:left;margin-left:66.3pt;margin-top:62.4pt;width:414.4pt;height:716.15pt;z-index:5;mso-position-horizontal-relative:page;mso-position-vertical-relative:page" stroked="f">
            <v:textbox style="mso-next-textbox:#_x0000_s5357" inset="0,0,0,0">
              <w:txbxContent>
                <w:tbl>
                  <w:tblPr>
                    <w:tblW w:w="442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216"/>
                    <w:gridCol w:w="1318"/>
                  </w:tblGrid>
                  <w:tr w:rsidR="003E750E">
                    <w:trPr>
                      <w:jc w:val="right"/>
                    </w:trPr>
                    <w:tc>
                      <w:tcPr>
                        <w:tcW w:w="4125" w:type="pct"/>
                      </w:tcPr>
                      <w:p w:rsidR="003E750E" w:rsidRDefault="003E75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שוויו של המגרש שיוקצה כאמור ביחס לשוויים של סך כל</w:t>
                        </w:r>
                      </w:p>
                      <w:p w:rsidR="003E750E" w:rsidRDefault="003E75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המגרשים החדשים שנוצרו על ידי החלוקה יהיה' ככל האפשר,</w:t>
                        </w:r>
                      </w:p>
                      <w:p w:rsidR="003E750E" w:rsidRDefault="003E75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כשוויו של המגרש הקודם של מקבל ההקצאה ביחס לשוויים של</w:t>
                        </w:r>
                      </w:p>
                      <w:p w:rsidR="003E750E" w:rsidRDefault="003E75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סך כל המגרשים הקודמים;</w:t>
                        </w:r>
                      </w:p>
                      <w:p w:rsidR="003E750E" w:rsidRDefault="003E75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היתה אפשרות לשמור על מלוא היחסיות כאמור, יהיה</w:t>
                        </w:r>
                      </w:p>
                      <w:p w:rsidR="003E750E" w:rsidRDefault="003E75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מקבל ההקצאה, ששווי מגרשו החדש נמוך ביחס משוויו של מגרשו</w:t>
                        </w:r>
                      </w:p>
                      <w:p w:rsidR="003E750E" w:rsidRDefault="003E75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הקודם, זכאי לקבל מהועדה המקומית תשלום ההפרש, ומקבל</w:t>
                        </w:r>
                      </w:p>
                      <w:p w:rsidR="003E750E" w:rsidRDefault="003E75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ההקצאה ששווי מגרשו החדש גבוה ביחס משוויו של מגרשו הקודם,</w:t>
                        </w:r>
                      </w:p>
                      <w:p w:rsidR="003E750E" w:rsidRDefault="003E75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 לשלם לועדה המקומית את ההפרש; באין הסכם בין מקבל</w:t>
                        </w:r>
                      </w:p>
                      <w:p w:rsidR="003E750E" w:rsidRDefault="003E75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ההקצאה ובין הועדה המקומית על עצם החיוב כתשלום או על</w:t>
                        </w:r>
                      </w:p>
                      <w:p w:rsidR="003E750E" w:rsidRDefault="003E75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שיעורו, יוכרע הדבר בבית המשפט המחוזי שבתחום שיפוטו נמצא</w:t>
                        </w:r>
                      </w:p>
                      <w:p w:rsidR="003E750E" w:rsidRDefault="003E75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המגרש, או בהסכמת כל בעלי הדין, בבוררות לפי פקודה זו;</w:t>
                        </w:r>
                      </w:p>
                      <w:p w:rsidR="003E750E" w:rsidRDefault="003E75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הועדה המחוזית תחליט אם ובאיזו מידה אפשר לשמור על</w:t>
                        </w:r>
                      </w:p>
                      <w:p w:rsidR="003E750E" w:rsidRDefault="003E75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היחסיות בשווי המגרש החדש שהוקצה, או על קרבת מקומו למגרש</w:t>
                        </w:r>
                      </w:p>
                      <w:p w:rsidR="003E750E" w:rsidRDefault="003E75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הקודם, ואין אחרי ההחלטה ולא כלום;</w:t>
                        </w:r>
                      </w:p>
                      <w:p w:rsidR="003E750E" w:rsidRDefault="003E75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שום דבר בסעיף זה לא יתפרש כאילו מותר בתכנית לחלוקה</w:t>
                        </w:r>
                      </w:p>
                      <w:p w:rsidR="003E750E" w:rsidRDefault="003E75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חדשה לסטות מהוראות תכנית מתאר המחייבת במקום,</w:t>
                        </w:r>
                      </w:p>
                    </w:tc>
                    <w:tc>
                      <w:tcPr>
                        <w:tcW w:w="875" w:type="pct"/>
                      </w:tcPr>
                      <w:p w:rsidR="003E750E" w:rsidRDefault="003E750E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3E750E" w:rsidRPr="002D0A1A">
                    <w:trPr>
                      <w:jc w:val="right"/>
                    </w:trPr>
                    <w:tc>
                      <w:tcPr>
                        <w:tcW w:w="4125" w:type="pct"/>
                      </w:tcPr>
                      <w:p w:rsidR="003E750E" w:rsidRDefault="003E75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20ב. הופקדה תכנית לחלוקה חדשה כאמור בסעיף 16, יעביר יושב ראש</w:t>
                        </w:r>
                      </w:p>
                      <w:p w:rsidR="003E750E" w:rsidRDefault="003E75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המחוזית העתק ממנה למשרד ספרי האחוזה הנוגע בדבר, ורשם</w:t>
                        </w:r>
                      </w:p>
                      <w:p w:rsidR="003E750E" w:rsidRDefault="003E75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הקרקעות ירשום הערה על יד כל חלקה רשומה העשויה להיפגע על ידי</w:t>
                        </w:r>
                      </w:p>
                      <w:p w:rsidR="003E750E" w:rsidRDefault="003E75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התכנית.</w:t>
                        </w:r>
                      </w:p>
                    </w:tc>
                    <w:tc>
                      <w:tcPr>
                        <w:tcW w:w="875" w:type="pct"/>
                      </w:tcPr>
                      <w:p w:rsidR="003E750E" w:rsidRDefault="003E750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רישום הערה</w:t>
                        </w:r>
                      </w:p>
                      <w:p w:rsidR="003E750E" w:rsidRPr="002D0A1A" w:rsidRDefault="003E750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בספרי האחוזה</w:t>
                        </w:r>
                      </w:p>
                    </w:tc>
                  </w:tr>
                  <w:tr w:rsidR="003E750E" w:rsidRPr="002D0A1A">
                    <w:trPr>
                      <w:jc w:val="right"/>
                    </w:trPr>
                    <w:tc>
                      <w:tcPr>
                        <w:tcW w:w="4125" w:type="pct"/>
                      </w:tcPr>
                      <w:p w:rsidR="003E750E" w:rsidRDefault="003E75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20ג. תחילת תקפה של חלוקה חדשה היא כיום תחילת תקפה של התכנית</w:t>
                        </w:r>
                      </w:p>
                      <w:p w:rsidR="003E750E" w:rsidRDefault="003E75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שלפיה בוצעה.</w:t>
                        </w:r>
                      </w:p>
                    </w:tc>
                    <w:tc>
                      <w:tcPr>
                        <w:tcW w:w="875" w:type="pct"/>
                      </w:tcPr>
                      <w:p w:rsidR="003E750E" w:rsidRDefault="003E750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תחילתה של</w:t>
                        </w:r>
                      </w:p>
                      <w:p w:rsidR="003E750E" w:rsidRPr="002D0A1A" w:rsidRDefault="003E750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הלוקה חדשה</w:t>
                        </w:r>
                      </w:p>
                    </w:tc>
                  </w:tr>
                  <w:tr w:rsidR="003E750E" w:rsidRPr="002D0A1A">
                    <w:trPr>
                      <w:jc w:val="right"/>
                    </w:trPr>
                    <w:tc>
                      <w:tcPr>
                        <w:tcW w:w="4125" w:type="pct"/>
                      </w:tcPr>
                      <w:p w:rsidR="003E750E" w:rsidRDefault="003E75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20ד. תוך חדשיים מיום תחילת תקפה של החלוקה החדשה, יעביר יושב</w:t>
                        </w:r>
                      </w:p>
                      <w:p w:rsidR="003E750E" w:rsidRDefault="003E75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הועדה המחוזית למשרד ספרי האחוזה הנוגע בדבר העתק התכנית</w:t>
                        </w:r>
                      </w:p>
                      <w:p w:rsidR="003E750E" w:rsidRDefault="003E75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תשריטיה, כשהוא חתום על ידיו, ורשם הקרקעות ירשום את החלוקה</w:t>
                        </w:r>
                      </w:p>
                      <w:p w:rsidR="003E750E" w:rsidRDefault="003E75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לתכנית תוך תשעים יום מהיום שהועבר העתק התכנית כאמור;</w:t>
                        </w:r>
                      </w:p>
                      <w:p w:rsidR="003E750E" w:rsidRDefault="003E75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אולם אי שמירת המועדים האמורים לא תפגע בתקפה של החלוקה החדשה</w:t>
                        </w:r>
                      </w:p>
                      <w:p w:rsidR="003E750E" w:rsidRDefault="003E75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ובזכויות שנרכשו מכוח סעיף 20ג.</w:t>
                        </w:r>
                      </w:p>
                    </w:tc>
                    <w:tc>
                      <w:tcPr>
                        <w:tcW w:w="875" w:type="pct"/>
                      </w:tcPr>
                      <w:p w:rsidR="003E750E" w:rsidRDefault="003E750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רישום החלוקה</w:t>
                        </w:r>
                      </w:p>
                      <w:p w:rsidR="003E750E" w:rsidRPr="002D0A1A" w:rsidRDefault="003E750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בספרי האחוזה</w:t>
                        </w:r>
                      </w:p>
                    </w:tc>
                  </w:tr>
                  <w:tr w:rsidR="003E750E" w:rsidRPr="002D0A1A">
                    <w:trPr>
                      <w:jc w:val="right"/>
                    </w:trPr>
                    <w:tc>
                      <w:tcPr>
                        <w:tcW w:w="4125" w:type="pct"/>
                      </w:tcPr>
                      <w:p w:rsidR="003E750E" w:rsidRDefault="003E75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20ה. (1) שעבוד, שהיה רובץ ערב תחילת תקפה של חלוקה חדשה על</w:t>
                        </w:r>
                      </w:p>
                      <w:p w:rsidR="003E750E" w:rsidRDefault="003E75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אחת החלקות שבחלוקה, הולך אחרי בעלה הקודם ויהיה רובץ על החלקה</w:t>
                        </w:r>
                      </w:p>
                      <w:p w:rsidR="003E750E" w:rsidRDefault="003E75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על החלקות שהוקצו לו בחלוקה החדשה.</w:t>
                        </w:r>
                      </w:p>
                      <w:p w:rsidR="003E750E" w:rsidRDefault="003E75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היה השעבוד זכות מעבר, זכות שאיבת מים או זכות אחרת</w:t>
                        </w:r>
                      </w:p>
                      <w:p w:rsidR="003E750E" w:rsidRDefault="003E75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כיוצא באלה שאינן ניתנות להעברה לחלקה במקום האחר, תישאר הקרקע</w:t>
                        </w:r>
                      </w:p>
                      <w:p w:rsidR="003E750E" w:rsidRDefault="003E75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כפופה לשעבוד גם אחרי החלוקה; אולם מותר לקבוע בתכנית הוראות</w:t>
                        </w:r>
                      </w:p>
                      <w:p w:rsidR="003E750E" w:rsidRDefault="003E75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 הפקעת זכויות אלה או שינוין, והוראות פקודה זו בדבר הפקעת</w:t>
                        </w:r>
                      </w:p>
                      <w:p w:rsidR="003E750E" w:rsidRDefault="003E75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בעלות או פגיעה אחרת בה, יחולו על הפקעות ושינויים אלה, בשינויים</w:t>
                        </w:r>
                      </w:p>
                      <w:p w:rsidR="003E750E" w:rsidRDefault="003E75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המחוייבים לפי הענין.</w:t>
                        </w:r>
                      </w:p>
                      <w:p w:rsidR="003E750E" w:rsidRDefault="003E75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זה, "שעבוד" - משכנתה, וכל זכות חפצית שיש בה</w:t>
                        </w:r>
                      </w:p>
                      <w:p w:rsidR="003E750E" w:rsidRDefault="003E75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 להגביל את הבעלות בקרקע, וכן שכירות, איסור העברה, עיקול</w:t>
                        </w:r>
                      </w:p>
                      <w:p w:rsidR="003E750E" w:rsidRDefault="003E75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הערה בספרי האחוזה.</w:t>
                        </w:r>
                      </w:p>
                    </w:tc>
                    <w:tc>
                      <w:tcPr>
                        <w:tcW w:w="875" w:type="pct"/>
                      </w:tcPr>
                      <w:p w:rsidR="003E750E" w:rsidRDefault="003E750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השפעת חלוקה</w:t>
                        </w:r>
                      </w:p>
                      <w:p w:rsidR="003E750E" w:rsidRDefault="003E750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חדשה על</w:t>
                        </w:r>
                      </w:p>
                      <w:p w:rsidR="003E750E" w:rsidRPr="002D0A1A" w:rsidRDefault="003E750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שעבודים</w:t>
                        </w:r>
                      </w:p>
                    </w:tc>
                  </w:tr>
                </w:tbl>
                <w:p w:rsidR="003E750E" w:rsidRDefault="003E750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BA1BF9" w:rsidRDefault="00BA1BF9">
      <w:pPr>
        <w:rPr>
          <w:rtl/>
        </w:rPr>
      </w:pPr>
      <w:r>
        <w:rPr>
          <w:rtl/>
        </w:rPr>
        <w:br w:type="page"/>
      </w:r>
    </w:p>
    <w:p w:rsidR="00BA1BF9" w:rsidRDefault="00000000">
      <w:pPr>
        <w:rPr>
          <w:rtl/>
        </w:rPr>
      </w:pPr>
      <w:r>
        <w:pict>
          <v:shape id="_x0000_s5358" o:spid="_x0000_s1032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5358" inset="0,0,0,0">
              <w:txbxContent>
                <w:p w:rsidR="003E750E" w:rsidRDefault="003E750E">
                  <w:r>
                    <w:rPr>
                      <w:rtl/>
                    </w:rPr>
                    <w:t>137                                          ספר החוקים 231                  י"ט בתמוז התשי"ז 18.07.1957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5359" o:spid="_x0000_s1033" type="#_x0000_t202" style="position:absolute;left:0;text-align:left;margin-left:365.8pt;margin-top:774.95pt;width:197pt;height:35.25pt;z-index:12;mso-position-horizontal-relative:page;mso-position-vertical-relative:page" stroked="f">
            <v:textbox style="mso-next-textbox:#_x0000_s5359" inset="0,0,0,0">
              <w:txbxContent>
                <w:p w:rsidR="003E750E" w:rsidRDefault="003E750E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5360" o:spid="_x0000_s1034" type="#_x0000_t202" style="position:absolute;left:0;text-align:left;margin-left:158.45pt;margin-top:578.95pt;width:133.25pt;height:40.6pt;z-index:11;mso-position-horizontal-relative:page;mso-position-vertical-relative:page" stroked="f">
            <v:textbox style="mso-next-textbox:#_x0000_s5360" inset="0,0,0,0">
              <w:txbxContent>
                <w:p w:rsidR="003E750E" w:rsidRDefault="003E750E">
                  <w:pPr>
                    <w:pStyle w:val="OCRStyle3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ישראל בר-יהודה</w:t>
                  </w:r>
                </w:p>
                <w:p w:rsidR="003E750E" w:rsidRDefault="003E750E">
                  <w:pPr>
                    <w:pStyle w:val="OCRStyle3"/>
                    <w:ind w:left="760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361" o:spid="_x0000_s1035" type="#_x0000_t202" style="position:absolute;left:0;text-align:left;margin-left:307.55pt;margin-top:579.75pt;width:107.3pt;height:39.8pt;z-index:10;mso-position-horizontal-relative:page;mso-position-vertical-relative:page" stroked="f">
            <v:textbox style="mso-next-textbox:#_x0000_s5361" inset="0,0,0,0">
              <w:txbxContent>
                <w:p w:rsidR="003E750E" w:rsidRDefault="003E750E">
                  <w:pPr>
                    <w:pStyle w:val="OCRStyle3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3E750E" w:rsidRDefault="003E750E">
                  <w:pPr>
                    <w:pStyle w:val="OCRStyle3"/>
                    <w:ind w:left="42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362" o:spid="_x0000_s1036" type="#_x0000_t202" style="position:absolute;left:0;text-align:left;margin-left:438.05pt;margin-top:608.45pt;width:105.35pt;height:38pt;z-index:9;mso-position-horizontal-relative:page;mso-position-vertical-relative:page" stroked="f">
            <v:textbox style="mso-next-textbox:#_x0000_s5362" inset="0,0,0,0">
              <w:txbxContent>
                <w:p w:rsidR="003E750E" w:rsidRDefault="003E750E">
                  <w:pPr>
                    <w:pStyle w:val="OCRStyle3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3E750E" w:rsidRDefault="003E750E">
                  <w:pPr>
                    <w:pStyle w:val="OCRStyle3"/>
                    <w:ind w:left="39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363" o:spid="_x0000_s1037" type="#_x0000_t202" style="position:absolute;left:0;text-align:left;margin-left:140.05pt;margin-top:59.8pt;width:419.95pt;height:507.1pt;z-index:8;mso-position-horizontal-relative:page;mso-position-vertical-relative:page" stroked="f">
            <v:textbox style="mso-next-textbox:#_x0000_s5363" inset="0,0,0,0">
              <w:txbxContent>
                <w:tbl>
                  <w:tblPr>
                    <w:tblW w:w="442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275"/>
                    <w:gridCol w:w="1361"/>
                  </w:tblGrid>
                  <w:tr w:rsidR="003E750E" w:rsidRPr="00BA1BF9">
                    <w:trPr>
                      <w:jc w:val="right"/>
                    </w:trPr>
                    <w:tc>
                      <w:tcPr>
                        <w:tcW w:w="4109" w:type="pct"/>
                      </w:tcPr>
                      <w:p w:rsidR="003E750E" w:rsidRDefault="003E75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20ו. (1) אוחדו מגרשים על פי תכנית בנין עיר מפורטת, ללא הסכמת</w:t>
                        </w:r>
                      </w:p>
                      <w:p w:rsidR="003E750E" w:rsidRDefault="003E75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הבעלים, ולא חולקו שנית למגרשים נפרדים בין בעליהם או חולקו</w:t>
                        </w:r>
                      </w:p>
                      <w:p w:rsidR="003E750E" w:rsidRDefault="003E75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למגרשים משותפים, כולם או מקצתם, זכאי בעל מגרש שלא הסכים</w:t>
                        </w:r>
                      </w:p>
                      <w:p w:rsidR="003E750E" w:rsidRDefault="003E75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לאיחוד לתבוע מהועדה המקומית שתרכוש את חלקו במגרשים המאוחדים</w:t>
                        </w:r>
                      </w:p>
                      <w:p w:rsidR="003E750E" w:rsidRDefault="003E75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המשותפים, ובאין הסכם בין בעל המגרש לבין הועדה המקומית על</w:t>
                        </w:r>
                      </w:p>
                      <w:p w:rsidR="003E750E" w:rsidRDefault="003E75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מחיר החלק, ייקבע המחיר על ידי בית המשפט המחוזי שבתחום שיפוטו</w:t>
                        </w:r>
                      </w:p>
                      <w:p w:rsidR="003E750E" w:rsidRDefault="003E75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נמצא המגרש, או, בהסכמת כל בעלי הדין, בבוררות לפי פקודה זה</w:t>
                        </w:r>
                      </w:p>
                      <w:p w:rsidR="003E750E" w:rsidRDefault="003E75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בעל מגרש שלא הסכים לאיחוד, רשאית הועדה המקומית,</w:t>
                        </w:r>
                      </w:p>
                      <w:p w:rsidR="003E750E" w:rsidRDefault="003E75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בהודעה, לקבוע לו מועד של שלושה חדשים לפחות שבו עליו להגיש</w:t>
                        </w:r>
                      </w:p>
                      <w:p w:rsidR="003E750E" w:rsidRDefault="003E75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 תביעה כאמור בסעיף קטן (1); לא הוגשה התביעה תוך המועד שנקבע,</w:t>
                        </w:r>
                      </w:p>
                      <w:p w:rsidR="003E750E" w:rsidRDefault="003E75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יהיה בעל המגרש רשאי עוד להגישה.</w:t>
                        </w:r>
                      </w:p>
                      <w:p w:rsidR="003E750E" w:rsidRDefault="003E75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על רישום איחוד מגרשים ללא הסכמת כל הבעלים יחולו</w:t>
                        </w:r>
                      </w:p>
                      <w:p w:rsidR="003E750E" w:rsidRDefault="003E75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סעיף 20ד בשינויים המחוייבים לפי הענין,</w:t>
                        </w:r>
                      </w:p>
                      <w:p w:rsidR="003E750E" w:rsidRDefault="003E75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איחוד מגרשים על פי תכנית בנין עיר מפורטת לא ישפיע</w:t>
                        </w:r>
                      </w:p>
                      <w:p w:rsidR="003E750E" w:rsidRDefault="003E75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זכויותיו של מי שהיתה לו לפני האיחוד זכות באחד המגרשים המאו-</w:t>
                        </w:r>
                      </w:p>
                      <w:p w:rsidR="003E750E" w:rsidRDefault="003E75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חדים על פי שכירות או זכות מעבר, זכות שאיבת מים או זכות אחרת</w:t>
                        </w:r>
                      </w:p>
                      <w:p w:rsidR="003E750E" w:rsidRDefault="003E75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כיוצא באלה; אולם מותר לקבוע בתכנית הוראות בדבר הפקעת זכויות</w:t>
                        </w:r>
                      </w:p>
                      <w:p w:rsidR="003E750E" w:rsidRDefault="003E75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 או שינוין, והוראות פקודה זו בדבר הפקעת בעלות או פגיעה אחרת</w:t>
                        </w:r>
                      </w:p>
                      <w:p w:rsidR="003E750E" w:rsidRDefault="003E75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 יחולו על הפקעות ושינויים אלה, בשינויים המחוייבים לפי הענין.</w:t>
                        </w:r>
                      </w:p>
                    </w:tc>
                    <w:tc>
                      <w:tcPr>
                        <w:tcW w:w="891" w:type="pct"/>
                      </w:tcPr>
                      <w:p w:rsidR="003E750E" w:rsidRDefault="003E750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איחוד מגרשיים</w:t>
                        </w:r>
                      </w:p>
                      <w:p w:rsidR="003E750E" w:rsidRDefault="003E750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ללא הסכמת</w:t>
                        </w:r>
                      </w:p>
                      <w:p w:rsidR="003E750E" w:rsidRPr="00BA1BF9" w:rsidRDefault="003E750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הבעלים</w:t>
                        </w:r>
                      </w:p>
                    </w:tc>
                  </w:tr>
                  <w:tr w:rsidR="003E750E" w:rsidRPr="00BA1BF9">
                    <w:trPr>
                      <w:jc w:val="right"/>
                    </w:trPr>
                    <w:tc>
                      <w:tcPr>
                        <w:tcW w:w="4109" w:type="pct"/>
                      </w:tcPr>
                      <w:p w:rsidR="003E750E" w:rsidRDefault="003E75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20ז. מגיע לבעל מגרש תשלום מהועדה המקומית מכוח סעיף 20א או</w:t>
                        </w:r>
                      </w:p>
                      <w:p w:rsidR="003E750E" w:rsidRDefault="003E75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מכוח סעיף 20ו והמגרש ממושכן במשכנתה, תשלם הועדה המקומית, על</w:t>
                        </w:r>
                      </w:p>
                      <w:p w:rsidR="003E750E" w:rsidRDefault="003E75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 בקשת בעל המשכנתה, את הסכום המגיע ממנה, בדרך הפקדתו בבית</w:t>
                        </w:r>
                      </w:p>
                      <w:p w:rsidR="003E750E" w:rsidRDefault="003E75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המחוזי שבתחום שיפוטו נמצא המגרש, אם נראה לה כי זכויות</w:t>
                        </w:r>
                      </w:p>
                      <w:p w:rsidR="003E750E" w:rsidRDefault="003E75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המשכנתה עשויות להיפגע אם לא יופקד הסכום: הסכום המופקד</w:t>
                        </w:r>
                      </w:p>
                      <w:p w:rsidR="003E750E" w:rsidRDefault="003E75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ישולם לידי בעל המגרש או לידי בעל המשכנתה כפי שיחליט בית המשפט</w:t>
                        </w:r>
                      </w:p>
                      <w:p w:rsidR="003E750E" w:rsidRDefault="003E75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בשים לב לזכויותיהם.</w:t>
                        </w:r>
                      </w:p>
                    </w:tc>
                    <w:tc>
                      <w:tcPr>
                        <w:tcW w:w="891" w:type="pct"/>
                      </w:tcPr>
                      <w:p w:rsidR="003E750E" w:rsidRDefault="003E750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הבטחת הזכויות</w:t>
                        </w:r>
                      </w:p>
                      <w:p w:rsidR="003E750E" w:rsidRPr="00BA1BF9" w:rsidRDefault="003E750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בעל משכנתה</w:t>
                        </w:r>
                      </w:p>
                    </w:tc>
                  </w:tr>
                  <w:tr w:rsidR="003E750E" w:rsidRPr="00BA1BF9">
                    <w:trPr>
                      <w:jc w:val="right"/>
                    </w:trPr>
                    <w:tc>
                      <w:tcPr>
                        <w:tcW w:w="4109" w:type="pct"/>
                      </w:tcPr>
                      <w:p w:rsidR="003E750E" w:rsidRDefault="003E75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20ח, בית המשפט או הבורר רשאי לחייב את הועדה המקומית לשלם</w:t>
                        </w:r>
                      </w:p>
                      <w:p w:rsidR="003E750E" w:rsidRDefault="003E75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לבעל מגרש ריבית על הסכום שיפסוק מכוח הסעיפים 20א או 20ו, מיום</w:t>
                        </w:r>
                      </w:p>
                      <w:p w:rsidR="003E750E" w:rsidRDefault="003E75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הפסק ובשיעור שיקבע."</w:t>
                        </w:r>
                      </w:p>
                    </w:tc>
                    <w:tc>
                      <w:tcPr>
                        <w:tcW w:w="891" w:type="pct"/>
                      </w:tcPr>
                      <w:p w:rsidR="003E750E" w:rsidRPr="00BA1BF9" w:rsidRDefault="003E750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תשלום ריבית</w:t>
                        </w:r>
                      </w:p>
                    </w:tc>
                  </w:tr>
                </w:tbl>
                <w:p w:rsidR="003E750E" w:rsidRDefault="003E750E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E750E" w:rsidRDefault="003E750E">
      <w:pPr>
        <w:rPr>
          <w:rtl/>
        </w:rPr>
      </w:pPr>
      <w:r>
        <w:rPr>
          <w:rtl/>
        </w:rPr>
        <w:br w:type="page"/>
      </w:r>
    </w:p>
    <w:p w:rsidR="003E750E" w:rsidRDefault="00000000">
      <w:pPr>
        <w:rPr>
          <w:rtl/>
        </w:rPr>
      </w:pPr>
      <w:r>
        <w:pict>
          <v:shape id="_x0000_s5364" o:spid="_x0000_s1038" type="#_x0000_t202" style="position:absolute;left:0;text-align:left;margin-left:50pt;margin-top:771.95pt;width:495.35pt;height:30pt;z-index:15;mso-position-horizontal-relative:page;mso-position-vertical-relative:page" stroked="f">
            <v:textbox style="mso-next-textbox:#_x0000_s5364" inset="0,0,0,0">
              <w:txbxContent>
                <w:p w:rsidR="003E750E" w:rsidRDefault="003E750E">
                  <w:r>
                    <w:rPr>
                      <w:rtl/>
                    </w:rPr>
                    <w:t>138                                          ספר החוקים 231                  י"ט בתמוז התשי"ז 18.07.1957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5365" o:spid="_x0000_s1039" type="#_x0000_t202" style="position:absolute;left:0;text-align:left;margin-left:75.4pt;margin-top:779.4pt;width:132.25pt;height:33.25pt;z-index:14;mso-position-horizontal-relative:page;mso-position-vertical-relative:page" stroked="f">
            <v:textbox style="mso-next-textbox:#_x0000_s5365" inset="0,0,0,0">
              <w:txbxContent>
                <w:p w:rsidR="003E750E" w:rsidRDefault="003E750E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A8661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8661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6CAB587-A838-4EC8-A020-679D80785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86610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2D0A1A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BA1BF9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3E750E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23</Characters>
  <Application>Microsoft Office Word</Application>
  <DocSecurity>4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5</cp:revision>
  <dcterms:created xsi:type="dcterms:W3CDTF">2008-04-06T19:09:00Z</dcterms:created>
  <dcterms:modified xsi:type="dcterms:W3CDTF">2008-04-06T19:09:00Z</dcterms:modified>
</cp:coreProperties>
</file>