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B4A15" w:rsidRDefault="005B4A15">
      <w:pPr>
        <w:rPr>
          <w:rtl/>
        </w:rPr>
      </w:pPr>
    </w:p>
    <w:p w:rsidR="005B4A1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53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531" inset="0,0,0,0">
              <w:txbxContent>
                <w:p w:rsidR="005B4A15" w:rsidRDefault="005B4A15">
                  <w:r>
                    <w:rPr>
                      <w:rtl/>
                    </w:rPr>
                    <w:t>134                                          ספר החוקים 508                     ח' באב התשכ"ז 14.08.1967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5532" o:spid="_x0000_s1026" type="#_x0000_t202" style="position:absolute;left:0;text-align:left;margin-left:82.1pt;margin-top:618.45pt;width:378.75pt;height:105.95pt;z-index:6;mso-wrap-style:none;mso-position-horizontal-relative:page;mso-position-vertical-relative:page" stroked="f">
            <v:textbox style="mso-next-textbox:#_x0000_s5532" inset="0,0,0,0">
              <w:txbxContent>
                <w:p w:rsidR="005B4A15" w:rsidRDefault="005B4A15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באב תשכ"ז (8 באוגוסט 1967); הצעת החוק ודברי הסבר פורסמו בה"ח 742, תשכ"ז,</w:t>
                  </w:r>
                </w:p>
                <w:p w:rsidR="005B4A15" w:rsidRDefault="005B4A15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עמ' 212.</w:t>
                  </w:r>
                </w:p>
                <w:p w:rsidR="005B4A15" w:rsidRDefault="005B4A15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1 ס"ח תשכ"ג, עמ' 20: ס"ח תשכ"ד, עמי 141.</w:t>
                  </w:r>
                </w:p>
                <w:p w:rsidR="005B4A15" w:rsidRPr="005B4A15" w:rsidRDefault="005B4A15">
                  <w:pPr>
                    <w:pStyle w:val="OCRStyle1"/>
                    <w:ind w:left="4223"/>
                  </w:pPr>
                  <w:r>
                    <w:rPr>
                      <w:rtl/>
                    </w:rPr>
                    <w:t>הודפס ע"י המדפיס הממשלתי'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533" o:spid="_x0000_s1027" type="#_x0000_t202" style="position:absolute;left:0;text-align:left;margin-left:115.6pt;margin-top:531.55pt;width:87.1pt;height:35.25pt;z-index:5;mso-wrap-style:none;mso-position-horizontal-relative:page;mso-position-vertical-relative:page" stroked="f">
            <v:textbox style="mso-next-textbox:#_x0000_s5533" inset="0,0,0,0">
              <w:txbxContent>
                <w:p w:rsidR="005B4A15" w:rsidRDefault="005B4A15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זרח ורהפטיג</w:t>
                  </w:r>
                </w:p>
                <w:p w:rsidR="005B4A15" w:rsidRDefault="005B4A15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534" o:spid="_x0000_s1028" type="#_x0000_t202" style="position:absolute;left:0;text-align:left;margin-left:227.65pt;margin-top:532.35pt;width:85.15pt;height:33.65pt;z-index:4;mso-wrap-style:none;mso-position-horizontal-relative:page;mso-position-vertical-relative:page" stroked="f">
            <v:textbox style="mso-next-textbox:#_x0000_s5534" inset="0,0,0,0">
              <w:txbxContent>
                <w:p w:rsidR="005B4A15" w:rsidRDefault="005B4A15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B4A15" w:rsidRDefault="005B4A15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535" o:spid="_x0000_s1029" type="#_x0000_t202" style="position:absolute;left:0;text-align:left;margin-left:342.9pt;margin-top:558.3pt;width:129.1pt;height:45.55pt;z-index:3;mso-wrap-style:none;mso-position-horizontal-relative:page;mso-position-vertical-relative:page" stroked="f">
            <v:textbox style="mso-next-textbox:#_x0000_s5535" inset="0,0,0,0">
              <w:txbxContent>
                <w:p w:rsidR="005B4A15" w:rsidRDefault="005B4A15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5B4A15" w:rsidRDefault="005B4A15">
                  <w:pPr>
                    <w:pStyle w:val="OCRStyle1"/>
                    <w:ind w:left="65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536" o:spid="_x0000_s1030" type="#_x0000_t202" style="position:absolute;left:0;text-align:left;margin-left:82.9pt;margin-top:277.5pt;width:469.25pt;height:245.3pt;z-index:2;mso-wrap-style:none;mso-position-horizontal-relative:page;mso-position-vertical-relative:page" stroked="f">
            <v:textbox style="mso-next-textbox:#_x0000_s5536" inset="0,0,0,0">
              <w:txbxContent>
                <w:tbl>
                  <w:tblPr>
                    <w:tblW w:w="50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6"/>
                    <w:gridCol w:w="1347"/>
                  </w:tblGrid>
                  <w:tr w:rsidR="005B4A15" w:rsidRPr="005B4A15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5B4A15" w:rsidRDefault="005B4A1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(א) על אף האמור בסעיף 8 לחוק בתי הדין הדתיים הדרוזיים, תשכ"ג-1962 1(להלן-</w:t>
                        </w:r>
                      </w:p>
                      <w:p w:rsidR="005B4A15" w:rsidRDefault="005B4A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באין אפשרות להרכיב בית דין, או בית הדין לערעורים, של שלושה משום</w:t>
                        </w:r>
                      </w:p>
                      <w:p w:rsidR="005B4A15" w:rsidRDefault="005B4A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שנפסקה כהונתו של קאדי-מד'הב או שנבצר ממנו למלא תפקידו, רשאי אותו בית דין</w:t>
                        </w:r>
                      </w:p>
                      <w:p w:rsidR="005B4A15" w:rsidRDefault="005B4A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לדון בשניים.</w:t>
                        </w:r>
                      </w:p>
                      <w:p w:rsidR="005B4A15" w:rsidRPr="005B4A15" w:rsidRDefault="005B4A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תקפה של הוראה זו עד ג' בטבת תשל"א (31 בדצמבר 1970).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5B4A15" w:rsidRPr="005B4A15" w:rsidRDefault="005B4A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בשניים</w:t>
                        </w:r>
                      </w:p>
                    </w:tc>
                  </w:tr>
                  <w:tr w:rsidR="005B4A15" w:rsidRPr="005B4A15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5B4A15" w:rsidRDefault="005B4A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הליך שנתקיים בבית דין או בבית דין לערעורים לפני תחילתו של חוק זה לא ייפסל</w:t>
                        </w:r>
                      </w:p>
                      <w:p w:rsidR="005B4A15" w:rsidRPr="005B4A15" w:rsidRDefault="005B4A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זאת בלבד שדנו בו בשניים.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5B4A15" w:rsidRPr="005B4A15" w:rsidRDefault="005B4A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פעולות</w:t>
                        </w:r>
                      </w:p>
                    </w:tc>
                  </w:tr>
                  <w:tr w:rsidR="005B4A15" w:rsidRPr="005B4A15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5B4A15" w:rsidRDefault="005B4A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על אף האמור בסעיף 19(א10) לחוק העיקרי -</w:t>
                        </w:r>
                      </w:p>
                      <w:p w:rsidR="005B4A15" w:rsidRDefault="005B4A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שהיה קאדי-מד'הב ויצא לקיצבה לפני תחילתו של חוק זה, רשאי</w:t>
                        </w:r>
                      </w:p>
                      <w:p w:rsidR="005B4A15" w:rsidRDefault="005B4A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תחילתו של חוק זה ועד תום חמש שנים מיום יציאתו לקיצבה כאמור,</w:t>
                        </w:r>
                      </w:p>
                      <w:p w:rsidR="005B4A15" w:rsidRDefault="005B4A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להמשיך לכהן בתפקיד שכיהן בו ערב צאתו לקיצבה, ודינו כקאדי-מד'הב</w:t>
                        </w:r>
                      </w:p>
                      <w:p w:rsidR="005B4A15" w:rsidRDefault="005B4A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שטרם יצא לקיצבה;</w:t>
                        </w:r>
                      </w:p>
                      <w:p w:rsidR="005B4A15" w:rsidRDefault="005B4A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שערב תחילת חוק זה כיהן כראש בית הדין לערעורים, רשאי להמשיך</w:t>
                        </w:r>
                      </w:p>
                      <w:p w:rsidR="005B4A15" w:rsidRPr="005B4A15" w:rsidRDefault="005B4A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לכהן בתפקיד זה כל עוד הוא מכהן גם כיושב ראש המועצה הדתית הדרוזית.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5B4A15" w:rsidRPr="005B4A15" w:rsidRDefault="005B4A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המשכת כהונה</w:t>
                        </w:r>
                      </w:p>
                    </w:tc>
                  </w:tr>
                </w:tbl>
                <w:p w:rsidR="005B4A15" w:rsidRDefault="005B4A1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537" o:spid="_x0000_s1031" type="#_x0000_t202" style="position:absolute;left:0;text-align:left;margin-left:103.7pt;margin-top:244.85pt;width:350.25pt;height:24.15pt;z-index:1;mso-wrap-style:none;mso-position-horizontal-relative:page;mso-position-vertical-relative:page" stroked="f">
            <v:textbox style="mso-next-textbox:#_x0000_s5537" inset="0,0,0,0">
              <w:txbxContent>
                <w:p w:rsidR="005B4A15" w:rsidRPr="005B4A15" w:rsidRDefault="005B4A15">
                  <w:pPr>
                    <w:pStyle w:val="OCRStyle1"/>
                    <w:ind w:left="12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בתי הדין הדתיים הדרוזיים (הוראות מיוחדות)' תשכ"ז-1967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B4A1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4BA0117-BE2D-4435-A6B9-B53A463AA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B4A1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2008-04-09T14:05:00Z</dcterms:created>
  <dcterms:modified xsi:type="dcterms:W3CDTF">2008-04-09T14:05:00Z</dcterms:modified>
</cp:coreProperties>
</file>