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5CB7" w:rsidRDefault="00825CB7">
      <w:pPr>
        <w:rPr>
          <w:rtl/>
        </w:rPr>
      </w:pPr>
    </w:p>
    <w:p w:rsidR="00825C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538" inset="0,0,0,0">
              <w:txbxContent>
                <w:p w:rsidR="00825CB7" w:rsidRDefault="00825CB7">
                  <w:r>
                    <w:rPr>
                      <w:rtl/>
                    </w:rPr>
                    <w:t>144                                          ספר החוקים 664                    כ"א באב התשל"ב 01.08.1972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539" o:spid="_x0000_s1026" type="#_x0000_t202" style="position:absolute;left:0;text-align:left;margin-left:87.85pt;margin-top:610.2pt;width:370.45pt;height:148.1pt;z-index:6;mso-position-horizontal-relative:page;mso-position-vertical-relative:page" stroked="f">
            <v:textbox style="mso-next-textbox:#_x0000_s5539" inset="0,0,0,0">
              <w:txbxContent>
                <w:p w:rsidR="00825CB7" w:rsidRDefault="00825CB7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תשל"ב (24 ביולי 1972); הצעת הקוק ודברי הסבר פורסמו  בה"ח 988, תשל"ב,</w:t>
                  </w:r>
                </w:p>
                <w:p w:rsidR="00825CB7" w:rsidRDefault="00825CB7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90.</w:t>
                  </w:r>
                </w:p>
                <w:p w:rsidR="00825CB7" w:rsidRDefault="00825CB7">
                  <w:pPr>
                    <w:pStyle w:val="OCRStyle1"/>
                    <w:ind w:left="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תשכ"ג, עמי 20; תשכ"ד, עמ' 141; תשכ"ט, עמי 99. </w:t>
                  </w:r>
                </w:p>
                <w:p w:rsidR="00825CB7" w:rsidRPr="00825CB7" w:rsidRDefault="00825CB7">
                  <w:pPr>
                    <w:pStyle w:val="OCRStyle1"/>
                    <w:ind w:left="39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40" o:spid="_x0000_s1027" type="#_x0000_t202" style="position:absolute;left:0;text-align:left;margin-left:109.65pt;margin-top:534.75pt;width:103.55pt;height:38.6pt;z-index:5;mso-position-horizontal-relative:page;mso-position-vertical-relative:page" stroked="f">
            <v:textbox style="mso-next-textbox:#_x0000_s5540" inset="0,0,0,0">
              <w:txbxContent>
                <w:p w:rsidR="00825CB7" w:rsidRDefault="00825CB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825CB7" w:rsidRDefault="00825CB7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541" o:spid="_x0000_s1028" type="#_x0000_t202" style="position:absolute;left:0;text-align:left;margin-left:237.75pt;margin-top:535.75pt;width:92.45pt;height:32.85pt;z-index:4;mso-position-horizontal-relative:page;mso-position-vertical-relative:page" stroked="f">
            <v:textbox style="mso-next-textbox:#_x0000_s5541" inset="0,0,0,0">
              <w:txbxContent>
                <w:p w:rsidR="00825CB7" w:rsidRDefault="00825CB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25CB7" w:rsidRDefault="00825CB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42" o:spid="_x0000_s1029" type="#_x0000_t202" style="position:absolute;left:0;text-align:left;margin-left:346.25pt;margin-top:555.55pt;width:122.55pt;height:46.15pt;z-index:3;mso-position-horizontal-relative:page;mso-position-vertical-relative:page" stroked="f">
            <v:textbox style="mso-next-textbox:#_x0000_s5542" inset="0,0,0,0">
              <w:txbxContent>
                <w:p w:rsidR="00825CB7" w:rsidRDefault="00825CB7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25CB7" w:rsidRDefault="00825CB7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43" o:spid="_x0000_s1030" type="#_x0000_t202" style="position:absolute;left:0;text-align:left;margin-left:81.35pt;margin-top:393.4pt;width:473.2pt;height:130.1pt;z-index:2;mso-position-horizontal-relative:page;mso-position-vertical-relative:page" stroked="f">
            <v:textbox style="mso-next-textbox:#_x0000_s55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9"/>
                    <w:gridCol w:w="1392"/>
                    <w:gridCol w:w="1382"/>
                  </w:tblGrid>
                  <w:tr w:rsidR="00825CB7" w:rsidRPr="00825CB7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825CB7" w:rsidRPr="00825CB7" w:rsidRDefault="00825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בתי הדין הדתיים הדרחיים, תשכ"ג-1962 1, במקום סעיף 8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25CB7" w:rsidRPr="00825CB7" w:rsidRDefault="00825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825CB7">
                    <w:trPr>
                      <w:jc w:val="right"/>
                    </w:trPr>
                    <w:tc>
                      <w:tcPr>
                        <w:tcW w:w="3388" w:type="pct"/>
                      </w:tcPr>
                      <w:p w:rsidR="00825CB7" w:rsidRDefault="00825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בית דין ידון בשלושה. אולם אם מספר הקאדים מדיהב</w:t>
                        </w:r>
                      </w:p>
                      <w:p w:rsidR="00825CB7" w:rsidRDefault="00825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המכהנים בו פחת משלושה. או שנבצר מאחד או משניים מהם למלא</w:t>
                        </w:r>
                      </w:p>
                      <w:p w:rsidR="00825CB7" w:rsidRDefault="00825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תפקידם, רשאי בית הדין לדון באחד.</w:t>
                        </w:r>
                      </w:p>
                      <w:p w:rsidR="00825CB7" w:rsidRPr="00825CB7" w:rsidRDefault="00825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לערעורים ידון בלא פחות משלושה."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825CB7" w:rsidRPr="00825CB7" w:rsidRDefault="00825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-הרגב בתי הדין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25CB7" w:rsidRDefault="00825C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25CB7" w:rsidRPr="00825CB7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825CB7" w:rsidRDefault="00825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2. הליך שהתקיים בבית דין דתי דרוזי לפני תחילתו של חוק זה לא ייפסל מחמת שדנו בו</w:t>
                        </w:r>
                      </w:p>
                      <w:p w:rsidR="00825CB7" w:rsidRPr="00825CB7" w:rsidRDefault="00825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בפחות משלושה.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825CB7" w:rsidRPr="00825CB7" w:rsidRDefault="00825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הליכים</w:t>
                        </w:r>
                      </w:p>
                    </w:tc>
                  </w:tr>
                </w:tbl>
                <w:p w:rsidR="00825CB7" w:rsidRDefault="00825C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44" o:spid="_x0000_s1031" type="#_x0000_t202" style="position:absolute;left:0;text-align:left;margin-left:108.65pt;margin-top:365.05pt;width:349.65pt;height:24.55pt;z-index:1;mso-position-horizontal-relative:page;mso-position-vertical-relative:page" stroked="f">
            <v:textbox style="mso-next-textbox:#_x0000_s5544" inset="0,0,0,0">
              <w:txbxContent>
                <w:p w:rsidR="00825CB7" w:rsidRPr="00825CB7" w:rsidRDefault="00825CB7">
                  <w:pPr>
                    <w:pStyle w:val="OCRStyle1"/>
                    <w:ind w:left="33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בתי הדין הדתיים הדרוזיים (תיקון מס' 3), תשל"ב-1972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25C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5B3A54-B46C-44F7-A252-D570A224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5CB7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2008-04-06T21:50:00Z</dcterms:created>
  <dcterms:modified xsi:type="dcterms:W3CDTF">2008-04-06T21:50:00Z</dcterms:modified>
</cp:coreProperties>
</file>