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24AE2" w:rsidRDefault="00E24AE2">
      <w:pPr>
        <w:rPr>
          <w:rtl/>
        </w:rPr>
      </w:pPr>
    </w:p>
    <w:p w:rsidR="00E24AE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55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553" inset="0,0,0,0">
              <w:txbxContent>
                <w:p w:rsidR="001B5CEC" w:rsidRDefault="001B5CEC">
                  <w:r>
                    <w:rPr>
                      <w:rtl/>
                    </w:rPr>
                    <w:t>176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554" o:spid="_x0000_s1026" type="#_x0000_t202" style="position:absolute;left:0;text-align:left;margin-left:83pt;margin-top:703.2pt;width:383.15pt;height:64.55pt;z-index:3;mso-wrap-style:none;mso-position-horizontal-relative:page;mso-position-vertical-relative:page" stroked="f">
            <v:textbox style="mso-next-textbox:#_x0000_s5554" inset="0,0,0,0">
              <w:txbxContent>
                <w:p w:rsidR="001B5CEC" w:rsidRDefault="001B5CEC">
                  <w:pPr>
                    <w:pStyle w:val="OCRStyle1"/>
                    <w:ind w:left="41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ד' באב תשל"א (26 ביולי 1971); הצעת החוק ודברי הסבר פורסמו בה"ח 920, תשל"א, עניי 86.</w:t>
                  </w:r>
                </w:p>
                <w:p w:rsidR="001B5CEC" w:rsidRDefault="001B5CEC">
                  <w:pPr>
                    <w:pStyle w:val="OCRStyle1"/>
                    <w:ind w:left="41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טיח תשכ"ט, עמ' 70.</w:t>
                  </w:r>
                </w:p>
                <w:p w:rsidR="001B5CEC" w:rsidRPr="00E24AE2" w:rsidRDefault="001B5CEC">
                  <w:pPr>
                    <w:pStyle w:val="OCRStyle1"/>
                    <w:ind w:left="427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635, י''ד באב תשל''א, 5.8.1971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555" o:spid="_x0000_s1027" type="#_x0000_t202" style="position:absolute;left:0;text-align:left;margin-left:86.4pt;margin-top:147.8pt;width:452.05pt;height:538.15pt;z-index:2;mso-wrap-style:none;mso-position-horizontal-relative:page;mso-position-vertical-relative:page" stroked="f">
            <v:textbox style="mso-next-textbox:#_x0000_s5555" inset="0,0,0,0">
              <w:txbxContent>
                <w:tbl>
                  <w:tblPr>
                    <w:tblW w:w="482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52"/>
                    <w:gridCol w:w="1268"/>
                  </w:tblGrid>
                  <w:tr w:rsidR="001B5CEC" w:rsidRPr="00E24AE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B5CEC" w:rsidRDefault="001B5CEC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1, בסעיף 24 לחוק בית הדין לעבודה, תשכ"ט-1969  1(להלן - החוק העיקרי) -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(א) -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בפסקה (1), במקום "בתובענות בין עובד למעביד" יבוא "בתובענות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בין עובד או חליפו למעביד או חליפו";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בפסקה (3), במקום "של מעבידים נגד קופות גמל" יבוא "של מע-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בידים או חליפיהם נגד קופות גמל" ובמקום "או נגד מעבידים" יבוא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"או נגד מעבידים או חליפיהם";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"(א1) האמור בסעיף קטן (א) אינו בא לגרוע מהוראת כל דין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השיפוט בהליכי פשיטת רגל, פירוק חברה או פירוק- אגודה</w:t>
                        </w:r>
                      </w:p>
                      <w:p w:rsidR="001B5CEC" w:rsidRPr="00E24AE2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שיתופית."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B5CEC" w:rsidRPr="00E24AE2" w:rsidRDefault="001B5C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24</w:t>
                        </w:r>
                      </w:p>
                    </w:tc>
                  </w:tr>
                  <w:tr w:rsidR="001B5CEC" w:rsidRPr="00E24AE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B5CEC" w:rsidRDefault="001B5C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27 (ב) לחוק העיקרי -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"תהיה לרשם הסמכות הנתונה לבית דין אזורי" יבוא "תהיה גם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הסמכות הנתונה לבית דין אזורי";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"אם השכר המולן אינו עולה על אלף לירות" יבוא "אם השכר</w:t>
                        </w:r>
                      </w:p>
                      <w:p w:rsidR="001B5CEC" w:rsidRPr="00E24AE2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המולן איבו עולה על שלושת אלפים לירות".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B5CEC" w:rsidRPr="00E24AE2" w:rsidRDefault="001B5C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</w:tr>
                  <w:tr w:rsidR="001B5CEC" w:rsidRPr="00E24AE2">
                    <w:trPr>
                      <w:jc w:val="right"/>
                    </w:trPr>
                    <w:tc>
                      <w:tcPr>
                        <w:tcW w:w="4229" w:type="pct"/>
                      </w:tcPr>
                      <w:p w:rsidR="001B5CEC" w:rsidRDefault="001B5C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.בתוספת הראשונה לחוק העיקרי -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5 -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פסקה (1) תסומן (1א) ולפניה יבוא: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"(1) בסעיף 14 (א) במקום "אך רשאי ממונה על גביית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השכר" יבוא "אך רשאי בית הדין האזורי כמשמעותו בחוק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לעבודה, תשכ"ט-1969" ובמקום "שנקבע על ידי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הממונה על גביית השכר" יבוא "שנקבע על ידי בית הדין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האזורי";"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במקומ פסקה (5) יבוא*.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"(5) בסעיף 19א, כסעיף קטן (א), יימחקו המליט "לענין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19", וסעיף קטן (ב) - בטל;"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אחרי פסקה (5) יבוא: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"(5א&gt; בסעיף 19ב סעיף קטן (ב) - בטל;*</w:t>
                        </w:r>
                      </w:p>
                      <w:p w:rsidR="001B5CEC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במקום פסקה (6) יבוא:</w:t>
                        </w:r>
                      </w:p>
                      <w:p w:rsidR="001B5CEC" w:rsidRPr="00E24AE2" w:rsidRDefault="001B5CEC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"(6) סעיפים 21,21,20א, 23 ו-29 - בטלים";</w:t>
                        </w:r>
                      </w:p>
                    </w:tc>
                    <w:tc>
                      <w:tcPr>
                        <w:tcW w:w="771" w:type="pct"/>
                      </w:tcPr>
                      <w:p w:rsidR="001B5CEC" w:rsidRDefault="001B5C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התוספת</w:t>
                        </w:r>
                      </w:p>
                      <w:p w:rsidR="001B5CEC" w:rsidRPr="00E24AE2" w:rsidRDefault="001B5CEC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</w:tbl>
                <w:p w:rsidR="001B5CEC" w:rsidRDefault="001B5CEC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556" o:spid="_x0000_s1028" type="#_x0000_t202" style="position:absolute;left:0;text-align:left;margin-left:144.2pt;margin-top:108.2pt;width:275.4pt;height:32.85pt;z-index:1;mso-wrap-style:none;mso-position-horizontal-relative:page;mso-position-vertical-relative:page" stroked="f">
            <v:textbox style="mso-next-textbox:#_x0000_s5556" inset="0,0,0,0">
              <w:txbxContent>
                <w:p w:rsidR="001B5CEC" w:rsidRPr="00E24AE2" w:rsidRDefault="001B5CEC">
                  <w:pPr>
                    <w:pStyle w:val="OCRStyle1"/>
                    <w:ind w:left="184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בית הדין לעבודה (תיקון), תשל"א-1971 *</w:t>
                  </w:r>
                </w:p>
              </w:txbxContent>
            </v:textbox>
            <w10:wrap anchorx="page" anchory="page"/>
          </v:shape>
        </w:pict>
      </w:r>
    </w:p>
    <w:p w:rsidR="001B5CEC" w:rsidRDefault="001B5CEC">
      <w:pPr>
        <w:rPr>
          <w:rtl/>
        </w:rPr>
      </w:pPr>
      <w:r>
        <w:rPr>
          <w:rtl/>
        </w:rPr>
        <w:br w:type="page"/>
      </w:r>
    </w:p>
    <w:p w:rsidR="001B5CEC" w:rsidRDefault="00000000">
      <w:pPr>
        <w:rPr>
          <w:rtl/>
        </w:rPr>
      </w:pPr>
      <w:r>
        <w:pict>
          <v:shape id="_x0000_s5557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5557" inset="0,0,0,0">
              <w:txbxContent>
                <w:p w:rsidR="001B5CEC" w:rsidRDefault="001B5CEC">
                  <w:r>
                    <w:rPr>
                      <w:rtl/>
                    </w:rPr>
                    <w:t>177                                          ספר החוקים 635                    י"ד באב התשל"א 05.08.1971</w:t>
                  </w:r>
                </w:p>
              </w:txbxContent>
            </v:textbox>
            <w10:wrap anchorx="page" anchory="page"/>
          </v:shape>
        </w:pict>
      </w:r>
      <w:r>
        <w:pict>
          <v:shape id="_x0000_s5558" o:spid="_x0000_s1030" type="#_x0000_t202" style="position:absolute;left:0;text-align:left;margin-left:442.3pt;margin-top:346.1pt;width:106.7pt;height:22.35pt;z-index:10;mso-wrap-style:none;mso-position-horizontal-relative:page;mso-position-vertical-relative:page" stroked="f">
            <v:textbox style="mso-next-textbox:#_x0000_s5558" inset="0,0,0,0">
              <w:txbxContent>
                <w:p w:rsidR="001B5CEC" w:rsidRPr="001B5CEC" w:rsidRDefault="001B5CEC">
                  <w:pPr>
                    <w:pStyle w:val="OCRStyle2"/>
                    <w:ind w:left="212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2 ס"ח תשי"ט, עמ' 199.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559" o:spid="_x0000_s1031" type="#_x0000_t202" style="position:absolute;left:0;text-align:left;margin-left:439.75pt;margin-top:302.95pt;width:118.8pt;height:31.9pt;z-index:9;mso-wrap-style:none;mso-position-horizontal-relative:page;mso-position-vertical-relative:page" stroked="f">
            <v:textbox style="mso-next-textbox:#_x0000_s5559" inset="0,0,0,0">
              <w:txbxContent>
                <w:p w:rsidR="001B5CEC" w:rsidRDefault="001B5CEC">
                  <w:pPr>
                    <w:pStyle w:val="OCRStyle2"/>
                    <w:ind w:left="162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1B5CEC" w:rsidRDefault="001B5CEC">
                  <w:pPr>
                    <w:pStyle w:val="OCRStyle2"/>
                    <w:ind w:left="61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0" o:spid="_x0000_s1032" type="#_x0000_t202" style="position:absolute;left:0;text-align:left;margin-left:169.45pt;margin-top:254pt;width:99.8pt;height:38.6pt;z-index:8;mso-wrap-style:none;mso-position-horizontal-relative:page;mso-position-vertical-relative:page" stroked="f">
            <v:textbox style="mso-next-textbox:#_x0000_s5560" inset="0,0,0,0">
              <w:txbxContent>
                <w:p w:rsidR="001B5CEC" w:rsidRDefault="001B5CEC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1B5CEC" w:rsidRDefault="001B5CEC">
                  <w:pPr>
                    <w:pStyle w:val="OCRStyle2"/>
                    <w:ind w:left="335"/>
                  </w:pPr>
                  <w:r>
                    <w:rPr>
                      <w:rtl/>
                    </w:rPr>
                    <w:t>שר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1" o:spid="_x0000_s1033" type="#_x0000_t202" style="position:absolute;left:0;text-align:left;margin-left:273.6pt;margin-top:254pt;width:106.7pt;height:41.2pt;z-index:7;mso-wrap-style:none;mso-position-horizontal-relative:page;mso-position-vertical-relative:page" stroked="f">
            <v:textbox style="mso-next-textbox:#_x0000_s5561" inset="0,0,0,0">
              <w:txbxContent>
                <w:p w:rsidR="001B5CEC" w:rsidRDefault="001B5CEC">
                  <w:pPr>
                    <w:pStyle w:val="OCRStyle2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יעקב ש' שפירא</w:t>
                  </w:r>
                </w:p>
                <w:p w:rsidR="001B5CEC" w:rsidRDefault="001B5CEC">
                  <w:pPr>
                    <w:pStyle w:val="OCRStyle2"/>
                    <w:ind w:left="439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2" o:spid="_x0000_s1034" type="#_x0000_t202" style="position:absolute;left:0;text-align:left;margin-left:385.5pt;margin-top:255.6pt;width:81pt;height:35.45pt;z-index:6;mso-wrap-style:none;mso-position-horizontal-relative:page;mso-position-vertical-relative:page" stroked="f">
            <v:textbox style="mso-next-textbox:#_x0000_s5562" inset="0,0,0,0">
              <w:txbxContent>
                <w:p w:rsidR="001B5CEC" w:rsidRDefault="001B5CEC">
                  <w:pPr>
                    <w:pStyle w:val="OCRStyle2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גולדה מאיר</w:t>
                  </w:r>
                </w:p>
                <w:p w:rsidR="001B5CEC" w:rsidRDefault="001B5CEC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563" o:spid="_x0000_s1035" type="#_x0000_t202" style="position:absolute;left:0;text-align:left;margin-left:149.65pt;margin-top:99.8pt;width:410.65pt;height:144.75pt;z-index:5;mso-wrap-style:none;mso-position-horizontal-relative:page;mso-position-vertical-relative:page" stroked="f">
            <v:textbox style="mso-next-textbox:#_x0000_s5563" inset="0,0,0,0">
              <w:txbxContent>
                <w:tbl>
                  <w:tblPr>
                    <w:tblW w:w="43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03"/>
                    <w:gridCol w:w="1363"/>
                  </w:tblGrid>
                  <w:tr w:rsidR="001B5CEC">
                    <w:trPr>
                      <w:jc w:val="right"/>
                    </w:trPr>
                    <w:tc>
                      <w:tcPr>
                        <w:tcW w:w="5000" w:type="pct"/>
                        <w:gridSpan w:val="2"/>
                      </w:tcPr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11 יבוא:</w:t>
                        </w:r>
                      </w:p>
                    </w:tc>
                  </w:tr>
                  <w:tr w:rsidR="001B5CEC" w:rsidRPr="001B5CEC">
                    <w:trPr>
                      <w:jc w:val="right"/>
                    </w:trPr>
                    <w:tc>
                      <w:tcPr>
                        <w:tcW w:w="4087" w:type="pct"/>
                      </w:tcPr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בחוק שירותי הכבאות. תשי"ט-1959  2-</w:t>
                        </w:r>
                      </w:p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&lt;1) בסעיף 29, במקום "בית הדין לביטוח לאומי שהוקם לפי</w:t>
                        </w:r>
                      </w:p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הביטוח הלאומי" יבוא "בית דין אזורי כמשמעותו בחוק</w:t>
                        </w:r>
                      </w:p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לעבודה,  תשכ"ט-1969", ובמקום כותרת השוליים</w:t>
                        </w:r>
                      </w:p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"סמכות ביתי הדין לעבודה",-</w:t>
                        </w:r>
                      </w:p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36, במקום כותרת השוליים יבוא "ייצוג. בפני</w:t>
                        </w:r>
                      </w:p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הדין לעבודה"."</w:t>
                        </w:r>
                      </w:p>
                    </w:tc>
                    <w:tc>
                      <w:tcPr>
                        <w:tcW w:w="913" w:type="pct"/>
                      </w:tcPr>
                      <w:p w:rsidR="001B5CEC" w:rsidRDefault="001B5CEC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"תיקון חוקי</w:t>
                        </w:r>
                      </w:p>
                      <w:p w:rsidR="001B5CEC" w:rsidRPr="001B5CEC" w:rsidRDefault="001B5CEC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שירותי הכבאות</w:t>
                        </w:r>
                      </w:p>
                    </w:tc>
                  </w:tr>
                </w:tbl>
                <w:p w:rsidR="001B5CEC" w:rsidRDefault="001B5CEC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24AE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4AE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E471178-9978-45AD-8939-7B2A7B83B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24AE2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B5CEC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2008-04-09T15:06:00Z</dcterms:created>
  <dcterms:modified xsi:type="dcterms:W3CDTF">2008-04-09T15:06:00Z</dcterms:modified>
</cp:coreProperties>
</file>