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55523" w:rsidRDefault="00F55523">
      <w:pPr>
        <w:rPr>
          <w:rtl/>
        </w:rPr>
      </w:pPr>
    </w:p>
    <w:p w:rsidR="00F5552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58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588" inset="0,0,0,0">
              <w:txbxContent>
                <w:p w:rsidR="0045446D" w:rsidRDefault="0045446D">
                  <w:r>
                    <w:rPr>
                      <w:rtl/>
                    </w:rPr>
                    <w:t>135                                          ספר החוקים 972                  כ"א בסיוון התש"מ 05.06.1980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5589" o:spid="_x0000_s1026" type="#_x0000_t202" style="position:absolute;left:0;text-align:left;margin-left:137.35pt;margin-top:605pt;width:404.7pt;height:139.4pt;z-index:3;mso-position-horizontal-relative:page;mso-position-vertical-relative:page" stroked="f">
            <v:textbox style="mso-next-textbox:#_x0000_s5589" inset="0,0,0,0">
              <w:txbxContent>
                <w:p w:rsidR="0045446D" w:rsidRDefault="0045446D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בסיון תש"ם (26 במאי 1980); הצעת החול ודברי הסבר פורסמו בה"ח 1421 ו-1429, תשיט,</w:t>
                  </w:r>
                </w:p>
                <w:p w:rsidR="0045446D" w:rsidRDefault="0045446D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עמי 44 ו-89.</w:t>
                  </w:r>
                </w:p>
                <w:p w:rsidR="0045446D" w:rsidRDefault="0045446D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1 ס"ה תשכ''ט, עמ' 70; תשל"ו, עמ' 190.</w:t>
                  </w:r>
                </w:p>
                <w:p w:rsidR="0045446D" w:rsidRDefault="0045446D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2 ס"ח תשי"ח, עמ' .80</w:t>
                  </w:r>
                </w:p>
                <w:p w:rsidR="0045446D" w:rsidRDefault="0045446D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3 ס"ח תשכ"ג, עמ' .136</w:t>
                  </w:r>
                </w:p>
                <w:p w:rsidR="0045446D" w:rsidRDefault="0045446D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4 ס"ח תשי"א, עמ' .61</w:t>
                  </w:r>
                </w:p>
                <w:p w:rsidR="0045446D" w:rsidRDefault="0045446D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5 ס"ח תשי"א, עמ' .104</w:t>
                  </w:r>
                </w:p>
                <w:p w:rsidR="0045446D" w:rsidRPr="00F55523" w:rsidRDefault="0045446D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6 ס"ח תשי"ג, עמ' .108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5590" o:spid="_x0000_s1027" type="#_x0000_t202" style="position:absolute;left:0;text-align:left;margin-left:88.45pt;margin-top:103.9pt;width:464.7pt;height:500.95pt;z-index:2;mso-position-horizontal-relative:page;mso-position-vertical-relative:page" stroked="f">
            <v:textbox style="mso-next-textbox:#_x0000_s559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9"/>
                    <w:gridCol w:w="7232"/>
                  </w:tblGrid>
                  <w:tr w:rsidR="0045446D" w:rsidRPr="00F55523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45446D" w:rsidRPr="00F55523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 סעיף 18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45446D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18 לחוק בית הדין לעבודה, תשכ"ט-1969  1 (להלן - החוק העיקרי), כסעיף</w:t>
                        </w:r>
                      </w:p>
                      <w:p w:rsidR="0045446D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(ד), פסקה (5) תסומן (6) ולפניה יבוא:</w:t>
                        </w:r>
                      </w:p>
                      <w:p w:rsidR="0045446D" w:rsidRPr="00F55523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ליתן צווים לעיקול נכסים או לעיכוב יציאה מהארץ;".</w:t>
                        </w:r>
                      </w:p>
                    </w:tc>
                  </w:tr>
                  <w:tr w:rsidR="0045446D" w:rsidRPr="00F55523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45446D" w:rsidRPr="00F55523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45446D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27 לחוק העיקרי -</w:t>
                        </w:r>
                      </w:p>
                      <w:p w:rsidR="0045446D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"שלושת אלפים לירות" יבוא "שלושת אלפים</w:t>
                        </w:r>
                      </w:p>
                      <w:p w:rsidR="0045446D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שקלים":</w:t>
                        </w:r>
                      </w:p>
                      <w:p w:rsidR="0045446D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45446D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שר המשפטים ושר העבודה והרווחה, בהתייעצות עם נשיא</w:t>
                        </w:r>
                      </w:p>
                      <w:p w:rsidR="0045446D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הארצי, עם ארגון העובדים המייצג את המספר הגדול ביותר של</w:t>
                        </w:r>
                      </w:p>
                      <w:p w:rsidR="0045446D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במדינה ועם ארגונים ארציים של מעבידים שלדעת השרים הם</w:t>
                        </w:r>
                      </w:p>
                      <w:p w:rsidR="0045446D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יציגים ונוגעים בדבר ובאישור ועדת העבודה והרווחה של הכנסת, רשאים</w:t>
                        </w:r>
                      </w:p>
                      <w:p w:rsidR="0045446D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להגדיל את הסכום הנקוב בסעיף קטן (ב); תובענה על שכר עבודה</w:t>
                        </w:r>
                      </w:p>
                      <w:p w:rsidR="0045446D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שהגדלת הסכום כאמור הוסיפה לסמכותו של רשם, וערב תחילתו של הצו</w:t>
                        </w:r>
                      </w:p>
                      <w:p w:rsidR="0045446D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תלויה ועומדת לפני בית דין אזורי לעבודה, ולא החלו בשמיעת</w:t>
                        </w:r>
                      </w:p>
                      <w:p w:rsidR="0045446D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עדים, רשאי שופט של בית הדין להעבירה לדיון לפני רשם.</w:t>
                        </w:r>
                      </w:p>
                      <w:p w:rsidR="0045446D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(ב2) תובענה על שכר עבודה הכוללת פיצוי הלנת שכר כמש-</w:t>
                        </w:r>
                      </w:p>
                      <w:p w:rsidR="0045446D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מעותו בסעיף 17 לחוק הגנת השכר' תשי"ח-21958, יראו לענין הסכום</w:t>
                        </w:r>
                      </w:p>
                      <w:p w:rsidR="0045446D" w:rsidRPr="00F55523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בסעיף קטן (ב) כאילו לא כלול בה פיצוי כאמור."</w:t>
                        </w:r>
                      </w:p>
                    </w:tc>
                  </w:tr>
                  <w:tr w:rsidR="0045446D" w:rsidRPr="00F55523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45446D" w:rsidRPr="00F55523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45446D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42 לחוק העיקרי, בסופו יבוא "ובית הדין רשאי ליתן סעד נגד המדינה גם</w:t>
                        </w:r>
                      </w:p>
                      <w:p w:rsidR="0045446D" w:rsidRPr="00F55523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צו מניעה או ביצוע בעין".</w:t>
                        </w:r>
                      </w:p>
                    </w:tc>
                  </w:tr>
                  <w:tr w:rsidR="0045446D" w:rsidRPr="00F55523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45446D" w:rsidRPr="00F55523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43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45446D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כסעיף 43(כ) לחוק העיקרי, כסופו יבוא:</w:t>
                        </w:r>
                      </w:p>
                      <w:p w:rsidR="0045446D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הארכת מועדים לעשיית דבר שבסדרי דין או שבנוהג,</w:t>
                        </w:r>
                      </w:p>
                      <w:p w:rsidR="0045446D" w:rsidRPr="00F55523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נקבעו בחיקוק."</w:t>
                        </w:r>
                      </w:p>
                    </w:tc>
                  </w:tr>
                  <w:tr w:rsidR="0045446D" w:rsidRPr="00F55523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45446D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ייחוד סמכותו של</w:t>
                        </w:r>
                      </w:p>
                      <w:p w:rsidR="0045446D" w:rsidRPr="00F55523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45446D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(א) בסעיפים 5(ב) ו-17 לחוק פיצויי פיטורים, תשכ"ג-31963, במקום "בבית</w:t>
                        </w:r>
                      </w:p>
                      <w:p w:rsidR="0045446D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המשפט" ו"בית המשפט" יבוא "בבית הדין האזורי לעבודה" ו"בית הדין האזורי לעבודה",</w:t>
                        </w:r>
                      </w:p>
                      <w:p w:rsidR="0045446D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ובכותרת השוליים של סעיף 17 האמור, במקום "מכוח בית משפט" יבוא "מכוח פסק דין".</w:t>
                        </w:r>
                      </w:p>
                      <w:p w:rsidR="0045446D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בטלים -</w:t>
                        </w:r>
                      </w:p>
                      <w:p w:rsidR="0045446D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11 לחוק איסור אפיית לילה, תשי"א-1951 4:</w:t>
                        </w:r>
                      </w:p>
                      <w:p w:rsidR="0045446D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29 לחוק שעות עבודה ומנוחה, תשי"א-51951;</w:t>
                        </w:r>
                      </w:p>
                      <w:p w:rsidR="0045446D" w:rsidRPr="00F55523" w:rsidRDefault="004544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34 לחוק החניכות, תשי"ג-1953 6.</w:t>
                        </w:r>
                      </w:p>
                    </w:tc>
                  </w:tr>
                </w:tbl>
                <w:p w:rsidR="0045446D" w:rsidRDefault="0045446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591" o:spid="_x0000_s1028" type="#_x0000_t202" style="position:absolute;left:0;text-align:left;margin-left:180.5pt;margin-top:73.8pt;width:320.15pt;height:25.95pt;z-index:1;mso-position-horizontal-relative:page;mso-position-vertical-relative:page" stroked="f">
            <v:textbox style="mso-next-textbox:#_x0000_s5591" inset="0,0,0,0">
              <w:txbxContent>
                <w:p w:rsidR="0045446D" w:rsidRPr="00F55523" w:rsidRDefault="0045446D">
                  <w:pPr>
                    <w:pStyle w:val="OCRStyle1"/>
                    <w:ind w:left="32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בית הדין לעבודה (תיקון מס' 8), תש"ם-1980 *</w:t>
                  </w:r>
                </w:p>
              </w:txbxContent>
            </v:textbox>
            <w10:wrap anchorx="page" anchory="page"/>
          </v:shape>
        </w:pict>
      </w:r>
    </w:p>
    <w:p w:rsidR="0045446D" w:rsidRDefault="0045446D">
      <w:pPr>
        <w:rPr>
          <w:rtl/>
        </w:rPr>
      </w:pPr>
      <w:r>
        <w:rPr>
          <w:rtl/>
        </w:rPr>
        <w:br w:type="page"/>
      </w:r>
    </w:p>
    <w:p w:rsidR="0045446D" w:rsidRDefault="00000000">
      <w:pPr>
        <w:rPr>
          <w:rtl/>
        </w:rPr>
      </w:pPr>
      <w:r>
        <w:pict>
          <v:shape id="_x0000_s559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592" inset="0,0,0,0">
              <w:txbxContent>
                <w:p w:rsidR="0045446D" w:rsidRDefault="0045446D">
                  <w:r>
                    <w:rPr>
                      <w:rtl/>
                    </w:rPr>
                    <w:t>136                                          ספר החוקים 972                  כ"א בסיוון התש"מ 05.06.1980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5593" o:spid="_x0000_s1030" type="#_x0000_t202" style="position:absolute;left:0;text-align:left;margin-left:82.25pt;margin-top:133.3pt;width:111.85pt;height:42.15pt;z-index:9;mso-position-horizontal-relative:page;mso-position-vertical-relative:page" stroked="f">
            <v:textbox style="mso-next-textbox:#_x0000_s5593" inset="0,0,0,0">
              <w:txbxContent>
                <w:p w:rsidR="0045446D" w:rsidRDefault="0045446D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ישראל כץ</w:t>
                  </w:r>
                </w:p>
                <w:p w:rsidR="0045446D" w:rsidRDefault="0045446D">
                  <w:pPr>
                    <w:pStyle w:val="OCRStyle2"/>
                    <w:ind w:left="11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594" o:spid="_x0000_s1031" type="#_x0000_t202" style="position:absolute;left:0;text-align:left;margin-left:201.85pt;margin-top:134.1pt;width:99pt;height:39.6pt;z-index:8;mso-position-horizontal-relative:page;mso-position-vertical-relative:page" stroked="f">
            <v:textbox style="mso-next-textbox:#_x0000_s5594" inset="0,0,0,0">
              <w:txbxContent>
                <w:p w:rsidR="0045446D" w:rsidRDefault="0045446D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45446D" w:rsidRDefault="0045446D">
                  <w:pPr>
                    <w:pStyle w:val="OCRStyle2"/>
                    <w:ind w:left="31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595" o:spid="_x0000_s1032" type="#_x0000_t202" style="position:absolute;left:0;text-align:left;margin-left:377.45pt;margin-top:165.2pt;width:99.8pt;height:41.4pt;z-index:7;mso-position-horizontal-relative:page;mso-position-vertical-relative:page" stroked="f">
            <v:textbox style="mso-next-textbox:#_x0000_s5595" inset="0,0,0,0">
              <w:txbxContent>
                <w:p w:rsidR="0045446D" w:rsidRDefault="0045446D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45446D" w:rsidRDefault="0045446D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596" o:spid="_x0000_s1033" type="#_x0000_t202" style="position:absolute;left:0;text-align:left;margin-left:320.65pt;margin-top:136.9pt;width:82.75pt;height:28.3pt;z-index:6;mso-position-horizontal-relative:page;mso-position-vertical-relative:page" stroked="f">
            <v:textbox style="mso-next-textbox:#_x0000_s5596" inset="0,0,0,0">
              <w:txbxContent>
                <w:p w:rsidR="0045446D" w:rsidRDefault="0045446D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5446D" w:rsidRDefault="0045446D">
                  <w:pPr>
                    <w:pStyle w:val="OCRStyle2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597" o:spid="_x0000_s1034" type="#_x0000_t202" style="position:absolute;left:0;text-align:left;margin-left:89.15pt;margin-top:76.5pt;width:470.05pt;height:55.05pt;z-index:5;mso-position-horizontal-relative:page;mso-position-vertical-relative:page" stroked="f">
            <v:textbox style="mso-next-textbox:#_x0000_s559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7"/>
                    <w:gridCol w:w="1159"/>
                  </w:tblGrid>
                  <w:tr w:rsidR="0045446D" w:rsidRPr="0045446D">
                    <w:trPr>
                      <w:jc w:val="right"/>
                    </w:trPr>
                    <w:tc>
                      <w:tcPr>
                        <w:tcW w:w="4322" w:type="pct"/>
                      </w:tcPr>
                      <w:p w:rsidR="0045446D" w:rsidRDefault="004544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תובענה על שכר עבודה, שסעיף 2 לחוק זה מוסיף לסמכותו של רשם, וערב תחילת</w:t>
                        </w:r>
                      </w:p>
                      <w:p w:rsidR="0045446D" w:rsidRDefault="004544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היתה תלויה ועומדת לפני בית דין אזורי לעבודה, ולא החלו בשמיעת עדים, רשאי</w:t>
                        </w:r>
                      </w:p>
                      <w:p w:rsidR="0045446D" w:rsidRDefault="004544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של בית הדין להעבירה לדיון לפני רשם.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45446D" w:rsidRPr="0045446D" w:rsidRDefault="0045446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45446D" w:rsidRDefault="0045446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5552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552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9DE8B60-7A22-4F7E-986B-A727C3183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5552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5446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2008-04-07T00:14:00Z</dcterms:created>
  <dcterms:modified xsi:type="dcterms:W3CDTF">2008-04-07T00:14:00Z</dcterms:modified>
</cp:coreProperties>
</file>