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4ABF" w:rsidRDefault="003F4ABF">
      <w:pPr>
        <w:rPr>
          <w:rtl/>
        </w:rPr>
      </w:pPr>
    </w:p>
    <w:p w:rsidR="003F4A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1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18" inset="0,0,0,0">
              <w:txbxContent>
                <w:p w:rsidR="003F4ABF" w:rsidRDefault="003F4ABF">
                  <w:r>
                    <w:rPr>
                      <w:rtl/>
                    </w:rPr>
                    <w:t>320                                          ספר החוקים 868                  י"ט באלול התשל"ז 02.09.1977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719" o:spid="_x0000_s1026" type="#_x0000_t202" style="position:absolute;left:0;text-align:left;margin-left:94.4pt;margin-top:711.7pt;width:159.8pt;height:39.6pt;z-index:7;mso-position-horizontal-relative:page;mso-position-vertical-relative:page" stroked="f">
            <v:textbox style="mso-next-textbox:#_x0000_s5719" inset="0,0,0,0">
              <w:txbxContent>
                <w:p w:rsidR="003F4ABF" w:rsidRDefault="003F4ABF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 868, י"ט באלול תשל"ז, 9.1977 2</w:t>
                  </w:r>
                </w:p>
                <w:p w:rsidR="003F4ABF" w:rsidRPr="003F4ABF" w:rsidRDefault="003F4ABF">
                  <w:pPr>
                    <w:pStyle w:val="OCRStyle1"/>
                    <w:ind w:left="5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0" o:spid="_x0000_s1027" type="#_x0000_t202" style="position:absolute;left:0;text-align:left;margin-left:96.75pt;margin-top:506.95pt;width:392.85pt;height:79.6pt;z-index:6;mso-position-horizontal-relative:page;mso-position-vertical-relative:page" stroked="f">
            <v:textbox style="mso-next-textbox:#_x0000_s5720" inset="0,0,0,0">
              <w:txbxContent>
                <w:p w:rsidR="003F4ABF" w:rsidRDefault="003F4ABF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ביום; י' באלול תשל"ז (24 באוגוסט 1977); הצעת החוק ודברי הסבר פורסמו בה"ח 1293, תשל"ז,</w:t>
                  </w:r>
                </w:p>
                <w:p w:rsidR="003F4ABF" w:rsidRDefault="003F4ABF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198.</w:t>
                  </w:r>
                </w:p>
                <w:p w:rsidR="003F4ABF" w:rsidRDefault="003F4ABF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ס"ח תשי"ז, עמי 148; תשכ"ב, עמ' 24; תשכ"ד, עמ' 66; תשכ"ז, עמ' 132; תשל"א, עמ' 120; תשל"ג, עמ' 237;</w:t>
                  </w:r>
                </w:p>
                <w:p w:rsidR="003F4ABF" w:rsidRPr="003F4ABF" w:rsidRDefault="003F4ABF">
                  <w:pPr>
                    <w:pStyle w:val="OCRStyle1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1" o:spid="_x0000_s1028" type="#_x0000_t202" style="position:absolute;left:0;text-align:left;margin-left:125.05pt;margin-top:206.2pt;width:89.5pt;height:37.4pt;z-index:5;mso-position-horizontal-relative:page;mso-position-vertical-relative:page" stroked="f">
            <v:textbox style="mso-next-textbox:#_x0000_s5721" inset="0,0,0,0">
              <w:txbxContent>
                <w:p w:rsidR="003F4ABF" w:rsidRDefault="003F4ABF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F4ABF" w:rsidRDefault="003F4ABF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2" o:spid="_x0000_s1029" type="#_x0000_t202" style="position:absolute;left:0;text-align:left;margin-left:251pt;margin-top:208pt;width:87.7pt;height:36.45pt;z-index:4;mso-position-horizontal-relative:page;mso-position-vertical-relative:page" stroked="f">
            <v:textbox style="mso-next-textbox:#_x0000_s5722" inset="0,0,0,0">
              <w:txbxContent>
                <w:p w:rsidR="003F4ABF" w:rsidRDefault="003F4ABF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F4ABF" w:rsidRDefault="003F4ABF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3" o:spid="_x0000_s1030" type="#_x0000_t202" style="position:absolute;left:0;text-align:left;margin-left:388.4pt;margin-top:223.6pt;width:109.5pt;height:52.25pt;z-index:3;mso-position-horizontal-relative:page;mso-position-vertical-relative:page" stroked="f">
            <v:textbox style="mso-next-textbox:#_x0000_s5723" inset="0,0,0,0">
              <w:txbxContent>
                <w:p w:rsidR="003F4ABF" w:rsidRDefault="003F4ABF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F4ABF" w:rsidRDefault="003F4ABF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24" o:spid="_x0000_s1031" type="#_x0000_t202" style="position:absolute;left:0;text-align:left;margin-left:91.8pt;margin-top:116.7pt;width:458.95pt;height:82.15pt;z-index:2;mso-position-horizontal-relative:page;mso-position-vertical-relative:page" stroked="f">
            <v:textbox style="mso-next-textbox:#_x0000_s57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083"/>
                  </w:tblGrid>
                  <w:tr w:rsidR="003F4ABF" w:rsidRPr="003F4ABF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3F4ABF" w:rsidRDefault="003F4AB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כסעיף 28 (2) לחוק בתי המשפט, תשי"ז-1957 1,  המקום "חמישים אלף לירות"</w:t>
                        </w:r>
                      </w:p>
                      <w:p w:rsidR="003F4ABF" w:rsidRPr="003F4ABF" w:rsidRDefault="003F4A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"מאה וחמישים אלף לירות".</w:t>
                        </w:r>
                      </w:p>
                    </w:tc>
                    <w:tc>
                      <w:tcPr>
                        <w:tcW w:w="649" w:type="pct"/>
                      </w:tcPr>
                      <w:p w:rsidR="003F4ABF" w:rsidRPr="003F4ABF" w:rsidRDefault="003F4A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3F4ABF" w:rsidRPr="003F4ABF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3F4ABF" w:rsidRDefault="003F4A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ענין שחוק זה מוסיף לסמכותו של בית משפט השלום, ולפני תחילת חוק זה הוגש</w:t>
                        </w:r>
                      </w:p>
                      <w:p w:rsidR="003F4ABF" w:rsidRPr="003F4ABF" w:rsidRDefault="003F4A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המחוזי, יוסיף בית המשפט המחוזי לדון בו על אף האמור בסעיף .1</w:t>
                        </w:r>
                      </w:p>
                    </w:tc>
                    <w:tc>
                      <w:tcPr>
                        <w:tcW w:w="649" w:type="pct"/>
                      </w:tcPr>
                      <w:p w:rsidR="003F4ABF" w:rsidRPr="003F4ABF" w:rsidRDefault="003F4A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3F4ABF" w:rsidRDefault="003F4A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25" o:spid="_x0000_s1032" type="#_x0000_t202" style="position:absolute;left:0;text-align:left;margin-left:152.4pt;margin-top:82.85pt;width:270.05pt;height:31.5pt;z-index:1;mso-position-horizontal-relative:page;mso-position-vertical-relative:page" stroked="f">
            <v:textbox style="mso-next-textbox:#_x0000_s5725" inset="0,0,0,0">
              <w:txbxContent>
                <w:p w:rsidR="003F4ABF" w:rsidRPr="003F4ABF" w:rsidRDefault="003F4ABF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 (תיקון מס' 7), תשל"ז-1977*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4A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85CC41-C2DF-4564-ACCA-9ABFB5C5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4A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2008-04-06T23:25:00Z</dcterms:created>
  <dcterms:modified xsi:type="dcterms:W3CDTF">2008-04-06T23:25:00Z</dcterms:modified>
</cp:coreProperties>
</file>