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1C56" w:rsidRDefault="00521C56">
      <w:pPr>
        <w:rPr>
          <w:rtl/>
        </w:rPr>
      </w:pPr>
    </w:p>
    <w:p w:rsidR="00521C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781" inset="0,0,0,0">
              <w:txbxContent>
                <w:p w:rsidR="009F51F8" w:rsidRDefault="009F51F8">
                  <w:r>
                    <w:rPr>
                      <w:rtl/>
                    </w:rPr>
                    <w:t>192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82" o:spid="_x0000_s1026" type="#_x0000_t202" style="position:absolute;left:0;text-align:left;margin-left:88.25pt;margin-top:633.85pt;width:395.2pt;height:92.25pt;z-index:3;mso-wrap-style:none;mso-position-horizontal-relative:page;mso-position-vertical-relative:page" stroked="f">
            <v:textbox style="mso-next-textbox:#_x0000_s5782" inset="0,0,0,0">
              <w:txbxContent>
                <w:p w:rsidR="009F51F8" w:rsidRDefault="009F51F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התשמ"ב (27 ביולי 1982); הצעת החוק ודברי הסבר פורסמו בה"ח 1578,</w:t>
                  </w:r>
                </w:p>
                <w:p w:rsidR="009F51F8" w:rsidRDefault="009F51F8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התשמ"ב, עמ' 180. </w:t>
                  </w:r>
                </w:p>
                <w:p w:rsidR="009F51F8" w:rsidRDefault="009F51F8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עמ' 148; התשכ"ב, עמ' 24; התשכ"ד, עמ' 66; התשכ"ז, עמ' 132; התשל"א, עמ' 120; התשל''ג,</w:t>
                  </w:r>
                </w:p>
                <w:p w:rsidR="009F51F8" w:rsidRDefault="009F51F8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237; התשל"ה, עמ' 106; התשל"ז, עמ' 320; התשל"ח, עמ' 11, עמ' 93 ועמ' 94; התשל"ט, עמ' 138;</w:t>
                  </w:r>
                </w:p>
                <w:p w:rsidR="009F51F8" w:rsidRDefault="009F51F8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125; התשמ"א, עמ' 84 ועמ' 273.</w:t>
                  </w:r>
                </w:p>
                <w:p w:rsidR="009F51F8" w:rsidRDefault="009F51F8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0"ח התשכ"ז, עמ' 116, </w:t>
                  </w:r>
                </w:p>
                <w:p w:rsidR="009F51F8" w:rsidRPr="00521C56" w:rsidRDefault="009F51F8">
                  <w:pPr>
                    <w:pStyle w:val="OCRStyle1"/>
                    <w:ind w:left="4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1057, ט"ו באב התשמ''ב, 4.8.1982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83" o:spid="_x0000_s1027" type="#_x0000_t202" style="position:absolute;left:0;text-align:left;margin-left:82.5pt;margin-top:96.65pt;width:466.9pt;height:529.65pt;z-index:2;mso-wrap-style:none;mso-position-horizontal-relative:page;mso-position-vertical-relative:page" stroked="f">
            <v:textbox style="mso-next-textbox:#_x0000_s5783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9"/>
                    <w:gridCol w:w="1188"/>
                  </w:tblGrid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בתי המשפט, התשי"ז-1957 1 (להלן - החוק העיקרי) ובכל חיקוק אחר,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"שופט ראשי של בית משפט שלום" יבוא "נשיא בית משפט השלום" בכל מקום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מופיע תואר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תואר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העיקרי, בסופו יבוא: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בערעורים על החלטות ביניים של בתי משפט מחוזיים מוסמך לדון שופט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8(ב) לחוק העיקרי, במקום "אם מפאת חשיבותה" יבוא "אם ההלכה שנפסקה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 העליון עומדת בסתירה להלכה קודמת של בית המשפט העליון או שמפאת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חשיבותה".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15 (א) לחוק העיקרי, בסופו יבוא: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בענינים הבאים ידון בית המשפט המחוזי בשופט אחד, אם לא הורה נשיאו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נשיא תורן הוראה אחרת לענין מסויים: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עבירות המנויות בתוספת הראשונה;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ערעורים על החלטות של ראש ההוצאה לפועל לפי סעיפים 25,19, 48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ו-58 לחוק ההוצאה לפועל, התשכ"ז-1967 2."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23 לחוק העיקרי, בסופו יבוא: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בבית משפט שלום שיש בו נשיא של בית המשפט יכול שיהיה נשיא תורן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27 לחוק העיקרי, אחרי "הותיק שבהם הוא אב-בית-הדין" יבוא "אם נשיא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תורן של בית משפט שלום ביניהם ואין נשיא בית משפט השלום ביניהם, הנשיא התורן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אב-בית-הדין, ואם שני נשיאים תורניים ביניהם - הותיק שבהם".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28 לחוק העיקרי -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(3), בסיפה, במקום "בתביעות" יבוא "בתביעות בדבר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לדורות ובתביעות";</w:t>
                        </w:r>
                      </w:p>
                      <w:p w:rsidR="009F51F8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"ענין" יבוא "בצו כאמור ניתן לקבוע, לכלל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או לבית משפט מסויים, כי ענין".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9F51F8" w:rsidRPr="00521C5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F51F8" w:rsidRPr="00521C56" w:rsidRDefault="009F51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29א לחוק העיקרי יבוא: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F51F8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9F51F8" w:rsidRPr="00521C56" w:rsidRDefault="009F51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שלישי 1</w:t>
                        </w:r>
                      </w:p>
                    </w:tc>
                  </w:tr>
                </w:tbl>
                <w:p w:rsidR="009F51F8" w:rsidRDefault="009F51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84" o:spid="_x0000_s1028" type="#_x0000_t202" style="position:absolute;left:0;text-align:left;margin-left:151.8pt;margin-top:63.8pt;width:268.9pt;height:25.55pt;z-index:1;mso-wrap-style:none;mso-position-horizontal-relative:page;mso-position-vertical-relative:page" stroked="f">
            <v:textbox style="mso-next-textbox:#_x0000_s5784" inset="0,0,0,0">
              <w:txbxContent>
                <w:p w:rsidR="009F51F8" w:rsidRPr="00521C56" w:rsidRDefault="009F51F8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15), התשמ"ב-1982 *</w:t>
                  </w:r>
                </w:p>
              </w:txbxContent>
            </v:textbox>
            <w10:wrap anchorx="page" anchory="page"/>
          </v:shape>
        </w:pict>
      </w:r>
    </w:p>
    <w:p w:rsidR="0034348A" w:rsidRDefault="0034348A">
      <w:pPr>
        <w:rPr>
          <w:rtl/>
        </w:rPr>
      </w:pPr>
      <w:r>
        <w:rPr>
          <w:rtl/>
        </w:rPr>
        <w:br w:type="page"/>
      </w:r>
    </w:p>
    <w:p w:rsidR="0034348A" w:rsidRDefault="00000000">
      <w:pPr>
        <w:rPr>
          <w:rtl/>
        </w:rPr>
      </w:pPr>
      <w:r>
        <w:pict>
          <v:shape id="_x0000_s5785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85" inset="0,0,0,0">
              <w:txbxContent>
                <w:p w:rsidR="009F51F8" w:rsidRDefault="009F51F8">
                  <w:r>
                    <w:rPr>
                      <w:rtl/>
                    </w:rPr>
                    <w:t>193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86" o:spid="_x0000_s1030" type="#_x0000_t202" style="position:absolute;left:0;text-align:left;margin-left:371.65pt;margin-top:636.15pt;width:170.85pt;height:91.65pt;z-index:7;mso-wrap-style:none;mso-position-horizontal-relative:page;mso-position-vertical-relative:page" stroked="f">
            <v:textbox style="mso-next-textbox:#_x0000_s5786" inset="0,0,0,0">
              <w:txbxContent>
                <w:p w:rsidR="009F51F8" w:rsidRDefault="009F51F8">
                  <w:pPr>
                    <w:pStyle w:val="OCRStyle2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8, עמ' 197.</w:t>
                  </w:r>
                </w:p>
                <w:p w:rsidR="009F51F8" w:rsidRDefault="009F51F8">
                  <w:pPr>
                    <w:pStyle w:val="OCRStyle2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9, עמ' .256</w:t>
                  </w:r>
                </w:p>
                <w:p w:rsidR="009F51F8" w:rsidRDefault="009F51F8">
                  <w:pPr>
                    <w:pStyle w:val="OCRStyle2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התשכ"ה, עמ' .307</w:t>
                  </w:r>
                </w:p>
                <w:p w:rsidR="009F51F8" w:rsidRPr="0034348A" w:rsidRDefault="009F51F8">
                  <w:pPr>
                    <w:pStyle w:val="OCRStyle2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התשכ"א,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787" o:spid="_x0000_s1031" type="#_x0000_t202" style="position:absolute;left:0;text-align:left;margin-left:140.55pt;margin-top:92.45pt;width:400.15pt;height:529.85pt;z-index:6;mso-wrap-style:none;mso-position-horizontal-relative:page;mso-position-vertical-relative:page" stroked="f">
            <v:textbox style="mso-next-textbox:#_x0000_s5787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1"/>
                    <w:gridCol w:w="1264"/>
                  </w:tblGrid>
                  <w:tr w:rsidR="009F51F8" w:rsidRPr="0034348A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שר המשפטים רשאי, בצו, לאחר התייעצות עם הרשות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הנוגעת בדבר, להקים בית משפט לענינים מקומיים ולקבוע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מושבו ואזור שיפוטו, ורשאי הוא, בצו כאמור, להסמיך בית משפט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פלוני לשבת כבית משפט לענינים מקומיים.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אזור שיפוטו של בית משפט לענינים מקומיים יכול שיהיה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מאזור שיפוטו של בית משפט השלום של אותו אזור ויכול שיכלול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תחומן של רשויות מקומיות אחדות; היה אזור שיפוטו של בית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לענינים מקומיים כולל שטחים שהם באזור השיפוט של יותר מבית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אחד, ייקבע בצו נשיאו של איזה בית משפט שלום מביניהם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הסמכות לגביו.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לאחר התייעצות עם הרשות המקומית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בדבר, לבטל צו לפי סעיף זה או לשנותו.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F51F8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מקש מושב</w:t>
                        </w:r>
                      </w:p>
                      <w:p w:rsidR="009F51F8" w:rsidRPr="0034348A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ואזור שיפוט</w:t>
                        </w:r>
                      </w:p>
                    </w:tc>
                  </w:tr>
                  <w:tr w:rsidR="009F51F8" w:rsidRPr="0034348A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(א) בית משפט לענינים מקומיים ידון בעבירות לפי פקודת י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העיריות3, פקודת המועצות המקומיות4, וחוק התכנון והבניה, התשכ"ה-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5, ולפי תקנות, צווים וחוקי עזר על פיהם, וכן בעבירות לפי החיקו-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קים המנויים בתוספת השניה, לרבות תקנות, צווים וחוקי עזר על פיהם.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באישור ועדת החוקה חוק ומשפט של הכנסת,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לשנות בצו את התוספת השלישית.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F51F8" w:rsidRPr="0034348A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</w:t>
                        </w:r>
                      </w:p>
                    </w:tc>
                  </w:tr>
                  <w:tr w:rsidR="009F51F8" w:rsidRPr="0034348A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(א) דין בית משפט לענינים מקומיים כדין בית משפט שלום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עליו הוראות הפרק השלישי, למעט סעיף 28, ככל שאין בפרק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אחרת, ובשינויים המחריבים.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שופט בית משפט לענינים מקומיים כדין שופט בית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לכל דבר וענין.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F51F8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בית משפט</w:t>
                        </w:r>
                      </w:p>
                      <w:p w:rsidR="009F51F8" w:rsidRPr="0034348A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לענינים מקומיים</w:t>
                        </w:r>
                      </w:p>
                    </w:tc>
                  </w:tr>
                  <w:tr w:rsidR="009F51F8" w:rsidRPr="0034348A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29ה. (א) שר המשפטים בהסכמת נשיא בית המשפט העליון רשאי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למנות, לתקופה ובתנאים שיקבע, שופט או שופט בקיצבה שימלא תפקיד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בית משפט לענינים מקומיים; בשבתו בדין יהיו סמכויותיו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שנתמנה כאמור בסמכויות שופט בית משפט שלום.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בקיצבה שנתמנה כאמור לא יעשה פעולות שנתייחדו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לעורך דין, לפי חוק לשכת עורכי הדין, התשכ"א-1961 6, כל עוד הוא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מכהן בתפקידו.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F51F8" w:rsidRPr="0034348A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</w:t>
                        </w:r>
                      </w:p>
                    </w:tc>
                  </w:tr>
                  <w:tr w:rsidR="009F51F8" w:rsidRPr="0034348A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29ו. אין הוראות פרק, זה באות לגרוע מסמכות בית משפט שלום לדון</w:t>
                        </w:r>
                      </w:p>
                      <w:p w:rsidR="009F51F8" w:rsidRDefault="009F51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כאמור בסעיף 29ג."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F51F8" w:rsidRPr="0034348A" w:rsidRDefault="009F51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שכירת סמכויות</w:t>
                        </w:r>
                      </w:p>
                    </w:tc>
                  </w:tr>
                </w:tbl>
                <w:p w:rsidR="009F51F8" w:rsidRDefault="009F51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788" o:spid="_x0000_s1032" type="#_x0000_t202" style="position:absolute;left:0;text-align:left;margin-left:198.4pt;margin-top:71.1pt;width:213.65pt;height:16.65pt;z-index:5;mso-wrap-style:none;mso-position-horizontal-relative:page;mso-position-vertical-relative:page" stroked="f">
            <v:textbox style="mso-next-textbox:#_x0000_s5788" inset="0,0,0,0">
              <w:txbxContent>
                <w:p w:rsidR="009F51F8" w:rsidRDefault="009F51F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"פרק שלישי 1: בתי משפט לענינים מקומיים</w:t>
                  </w:r>
                </w:p>
              </w:txbxContent>
            </v:textbox>
            <w10:wrap anchorx="page" anchory="page"/>
          </v:shape>
        </w:pict>
      </w:r>
    </w:p>
    <w:p w:rsidR="00DC4C21" w:rsidRDefault="00DC4C21">
      <w:pPr>
        <w:rPr>
          <w:rtl/>
        </w:rPr>
      </w:pPr>
      <w:r>
        <w:rPr>
          <w:rtl/>
        </w:rPr>
        <w:br w:type="page"/>
      </w:r>
    </w:p>
    <w:p w:rsidR="00DC4C21" w:rsidRDefault="00000000">
      <w:pPr>
        <w:rPr>
          <w:rtl/>
        </w:rPr>
      </w:pPr>
      <w:r>
        <w:pict>
          <v:shape id="_x0000_s578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789" inset="0,0,0,0">
              <w:txbxContent>
                <w:p w:rsidR="009F51F8" w:rsidRDefault="009F51F8">
                  <w:r>
                    <w:rPr>
                      <w:rtl/>
                    </w:rPr>
                    <w:t>194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0" o:spid="_x0000_s1034" type="#_x0000_t202" style="position:absolute;left:0;text-align:left;margin-left:93.3pt;margin-top:405.35pt;width:396.8pt;height:329.85pt;z-index:10;mso-wrap-style:none;mso-position-horizontal-relative:page;mso-position-vertical-relative:page" stroked="f">
            <v:textbox style="mso-next-textbox:#_x0000_s5790" inset="0,0,0,0">
              <w:txbxContent>
                <w:p w:rsidR="009F51F8" w:rsidRDefault="009F51F8">
                  <w:pPr>
                    <w:pStyle w:val="OCRStyle3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"תוספת ראשונה</w:t>
                  </w:r>
                </w:p>
                <w:p w:rsidR="009F51F8" w:rsidRDefault="009F51F8">
                  <w:pPr>
                    <w:pStyle w:val="OCRStyle3"/>
                    <w:ind w:left="3157"/>
                    <w:rPr>
                      <w:rtl/>
                    </w:rPr>
                  </w:pPr>
                  <w:r>
                    <w:rPr>
                      <w:rtl/>
                    </w:rPr>
                    <w:t>(סעיף 15)</w:t>
                  </w:r>
                </w:p>
                <w:p w:rsidR="009F51F8" w:rsidRDefault="009F51F8">
                  <w:pPr>
                    <w:pStyle w:val="OCRStyle3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1. עבירות לפי הסעיפים הבאים של חוק העונשין, התשל"ז - 1977 7: 144, 169,</w:t>
                  </w:r>
                </w:p>
                <w:p w:rsidR="009F51F8" w:rsidRDefault="009F51F8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245 או 246 בנסיבות המתוארות בסעיף 249א, 298, 302, 329, 330 עד ,332</w:t>
                  </w:r>
                </w:p>
                <w:p w:rsidR="009F51F8" w:rsidRDefault="009F51F8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333 בנסיבות המתוארות בסעיף 335, 336, 346, 347(ב), 354(ב), 369 עד ,375</w:t>
                  </w:r>
                </w:p>
                <w:p w:rsidR="009F51F8" w:rsidRDefault="009F51F8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390, 402 עד 404, 406 ו-407 בנסיבות המתוארות בסעיף 408, 448 עד .450</w:t>
                  </w:r>
                </w:p>
                <w:p w:rsidR="009F51F8" w:rsidRDefault="009F51F8">
                  <w:pPr>
                    <w:pStyle w:val="OCRStyle3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2, עבירות לפי סעיפים 117(א) ו-118 לחוק הבחירות לכנסת [נוסח משולב],</w:t>
                  </w:r>
                </w:p>
                <w:p w:rsidR="009F51F8" w:rsidRDefault="009F51F8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התשכ"ט-1969 8.</w:t>
                  </w:r>
                </w:p>
                <w:p w:rsidR="009F51F8" w:rsidRDefault="009F51F8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3. עבירות לפי סעיפים 75, 84 ו-85 לפקודת הדואר [נוסח חדש], התשל"ז-</w:t>
                  </w:r>
                </w:p>
                <w:p w:rsidR="009F51F8" w:rsidRDefault="009F51F8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1976 9.</w:t>
                  </w:r>
                </w:p>
                <w:p w:rsidR="009F51F8" w:rsidRDefault="009F51F8">
                  <w:pPr>
                    <w:pStyle w:val="OCRStyle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4. עבירות לפי סעיף 209 לפקודת המכס 10.</w:t>
                  </w:r>
                </w:p>
                <w:p w:rsidR="009F51F8" w:rsidRDefault="009F51F8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7 ס''ח התשל"ז, עמ' .226</w:t>
                  </w:r>
                </w:p>
                <w:p w:rsidR="009F51F8" w:rsidRDefault="009F51F8">
                  <w:pPr>
                    <w:pStyle w:val="OCRStyle3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התשכ"ט, עמ' .196</w:t>
                  </w:r>
                </w:p>
                <w:p w:rsidR="009F51F8" w:rsidRDefault="009F51F8">
                  <w:pPr>
                    <w:pStyle w:val="OCRStyle3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דיני מדינת ישראל, נוסח חדש 29, עמ' .567</w:t>
                  </w:r>
                </w:p>
                <w:p w:rsidR="009F51F8" w:rsidRPr="00DC4C21" w:rsidRDefault="009F51F8">
                  <w:pPr>
                    <w:pStyle w:val="OCRStyle3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דיני מדינת ישראל, נוסח חדש 3,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1" o:spid="_x0000_s1035" type="#_x0000_t202" style="position:absolute;left:0;text-align:left;margin-left:104.75pt;margin-top:67.95pt;width:455.4pt;height:329.85pt;z-index:9;mso-wrap-style:none;mso-position-horizontal-relative:page;mso-position-vertical-relative:page" stroked="f">
            <v:textbox style="mso-next-textbox:#_x0000_s579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2"/>
                    <w:gridCol w:w="1124"/>
                    <w:gridCol w:w="1313"/>
                  </w:tblGrid>
                  <w:tr w:rsidR="009F51F8" w:rsidRPr="00DC4C21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38(ב) לחוק העיקרי, אחרי פסקה (1) יבוא: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לשם מניעת פגיעה ביחסי החוץ של המדינה ;"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51F8" w:rsidRPr="00DC4C21" w:rsidRDefault="009F51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9F51F8" w:rsidRPr="00DC4C21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9F51F8" w:rsidRPr="00DC4C21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42 לחוק העיקרי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51F8" w:rsidRPr="00DC4C21" w:rsidRDefault="009F51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הוסטת סעיף 42א</w:t>
                        </w:r>
                      </w:p>
                    </w:tc>
                  </w:tr>
                  <w:tr w:rsidR="009F51F8">
                    <w:trPr>
                      <w:jc w:val="right"/>
                    </w:trPr>
                    <w:tc>
                      <w:tcPr>
                        <w:tcW w:w="3528" w:type="pct"/>
                      </w:tcPr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(א) מי שהוזמן להעיד ולא התייצב או נצטווה להמציא מסמך ולא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המציאו. רשאי בית המשפט או הרשם להטיל עליו, אף שלא בפניו, קנס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אלף שקלים, ואם הוזמן או נצטווה פעם נוספת ולא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או לא המציא את המסמך - מאסר שלא יעלה על חודש ימים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שלא יעלה על אלפיים שקלים לכל פעם נוספת.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שהוטל עליו מאסר או קנס לפי סעיף קטן (א) שלא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בפניו, רשאי בית המשפט או הרשם, לבקשתו, לעיין שנית במאסר או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בקנס שהטיל, להקל בהם או לבטלם, והוא יבטלם אם שוכנע שהמבקש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התייצב או לא המציא את המסמך מסיבות שלא היתה לו שליטה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עליהן.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ההחלטה להטיל מאסר או קנס לפי סעיף קטן (א) ועל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קטן (ב) יתן בית המשפט או הרשם מיד הודעה בכתב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המשפט שלערעור, ורשאי הנשיא או שופט אחר של בית</w:t>
                        </w:r>
                      </w:p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שלערעור לבטל את הצו או לשנותו לקולה."</w:t>
                        </w:r>
                      </w:p>
                    </w:tc>
                    <w:tc>
                      <w:tcPr>
                        <w:tcW w:w="679" w:type="pct"/>
                      </w:tcPr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או מאסר</w:t>
                        </w:r>
                      </w:p>
                      <w:p w:rsidR="009F51F8" w:rsidRPr="00DC4C21" w:rsidRDefault="009F51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אי-ציות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51F8" w:rsidRDefault="009F51F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F51F8" w:rsidRPr="00DC4C21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9F51F8" w:rsidRPr="00DC4C21" w:rsidRDefault="009F51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אחרי סעיף 52 לחוק העיקרי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F51F8" w:rsidRPr="00DC4C21" w:rsidRDefault="009F51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תוספות</w:t>
                        </w:r>
                      </w:p>
                    </w:tc>
                  </w:tr>
                </w:tbl>
                <w:p w:rsidR="009F51F8" w:rsidRDefault="009F51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84CFC" w:rsidRDefault="00D84CFC">
      <w:pPr>
        <w:rPr>
          <w:rtl/>
        </w:rPr>
      </w:pPr>
      <w:r>
        <w:rPr>
          <w:rtl/>
        </w:rPr>
        <w:br w:type="page"/>
      </w:r>
    </w:p>
    <w:p w:rsidR="00D84CFC" w:rsidRDefault="00000000">
      <w:pPr>
        <w:rPr>
          <w:rtl/>
        </w:rPr>
      </w:pPr>
      <w:r>
        <w:pict>
          <v:shape id="_x0000_s5792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792" inset="0,0,0,0">
              <w:txbxContent>
                <w:p w:rsidR="009F51F8" w:rsidRDefault="009F51F8">
                  <w:r>
                    <w:rPr>
                      <w:rtl/>
                    </w:rPr>
                    <w:t>195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3" o:spid="_x0000_s1037" type="#_x0000_t202" style="position:absolute;left:0;text-align:left;margin-left:337.6pt;margin-top:516.55pt;width:212.05pt;height:221.95pt;z-index:14;mso-wrap-style:none;mso-position-horizontal-relative:page;mso-position-vertical-relative:page" stroked="f">
            <v:textbox style="mso-next-textbox:#_x0000_s5793" inset="0,0,0,0">
              <w:txbxContent>
                <w:p w:rsidR="009F51F8" w:rsidRDefault="009F51F8">
                  <w:pPr>
                    <w:pStyle w:val="OCRStyle4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11 ס"ח התשכ"ח, עמ' 204.</w:t>
                  </w:r>
                </w:p>
                <w:p w:rsidR="009F51F8" w:rsidRDefault="009F51F8">
                  <w:pPr>
                    <w:pStyle w:val="OCRStyle4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התשכ"א, עמ' .58</w:t>
                  </w:r>
                </w:p>
                <w:p w:rsidR="009F51F8" w:rsidRDefault="009F51F8">
                  <w:pPr>
                    <w:pStyle w:val="OCRStyle4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חא"י, כרך א' עמ' .1</w:t>
                  </w:r>
                </w:p>
                <w:p w:rsidR="009F51F8" w:rsidRDefault="009F51F8">
                  <w:pPr>
                    <w:pStyle w:val="OCRStyle4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ע"ר 1940, תוס' 1, עמ' :239</w:t>
                  </w:r>
                </w:p>
                <w:p w:rsidR="009F51F8" w:rsidRDefault="009F51F8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ע"ר 1935, תוס' 1, עמ' :56</w:t>
                  </w:r>
                </w:p>
                <w:p w:rsidR="009F51F8" w:rsidRDefault="009F51F8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התשי"א, עמ' .78</w:t>
                  </w:r>
                </w:p>
                <w:p w:rsidR="009F51F8" w:rsidRDefault="009F51F8">
                  <w:pPr>
                    <w:pStyle w:val="OCRStyle4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ע"ר 1936, תוס' 1, עמ' .1</w:t>
                  </w:r>
                </w:p>
                <w:p w:rsidR="009F51F8" w:rsidRDefault="009F51F8">
                  <w:pPr>
                    <w:pStyle w:val="OCRStyle4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ס"ח התשכ"ד, עמ' .172</w:t>
                  </w:r>
                </w:p>
                <w:p w:rsidR="009F51F8" w:rsidRDefault="009F51F8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ס"ח התש"ט, עמ' .287</w:t>
                  </w:r>
                </w:p>
                <w:p w:rsidR="009F51F8" w:rsidRDefault="009F51F8">
                  <w:pPr>
                    <w:pStyle w:val="OCRStyle4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 ס"ח התשכ"ג, עמ' .2</w:t>
                  </w:r>
                </w:p>
                <w:p w:rsidR="009F51F8" w:rsidRDefault="009F51F8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ס"ח התשכ"ב, עמ' .96</w:t>
                  </w:r>
                </w:p>
                <w:p w:rsidR="009F51F8" w:rsidRDefault="009F51F8">
                  <w:pPr>
                    <w:pStyle w:val="OCRStyle4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 ס"ח התשי"ט, עמ' .199</w:t>
                  </w:r>
                </w:p>
                <w:p w:rsidR="009F51F8" w:rsidRDefault="009F51F8">
                  <w:pPr>
                    <w:pStyle w:val="OCRStyle4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 ע"ר 1934, תוס' 1, עמ' .242</w:t>
                  </w:r>
                </w:p>
                <w:p w:rsidR="009F51F8" w:rsidRDefault="009F51F8">
                  <w:pPr>
                    <w:pStyle w:val="OCRStyle4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 ק"ת התשל"ד, עמ' 1902; ס"ח התשמ"ב, עמ' ,178</w:t>
                  </w:r>
                </w:p>
                <w:p w:rsidR="009F51F8" w:rsidRDefault="009F51F8">
                  <w:pPr>
                    <w:pStyle w:val="OCRStyle4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 ע"ר 1943, תוס' 2, עמ' .679</w:t>
                  </w:r>
                </w:p>
                <w:p w:rsidR="009F51F8" w:rsidRDefault="009F51F8">
                  <w:pPr>
                    <w:pStyle w:val="OCRStyle4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 ק"ת התשכ"א, עמ' .2093</w:t>
                  </w:r>
                </w:p>
                <w:p w:rsidR="009F51F8" w:rsidRDefault="009F51F8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 ק"ת התשכ"ד, עמ' .837</w:t>
                  </w:r>
                </w:p>
                <w:p w:rsidR="009F51F8" w:rsidRPr="00D84CFC" w:rsidRDefault="009F51F8">
                  <w:pPr>
                    <w:pStyle w:val="OCRStyle4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 ס"ח התשמ"ב,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4" o:spid="_x0000_s1038" type="#_x0000_t202" style="position:absolute;left:0;text-align:left;margin-left:85.95pt;margin-top:468.6pt;width:453pt;height:38.8pt;z-index:13;mso-wrap-style:none;mso-position-horizontal-relative:page;mso-position-vertical-relative:page" stroked="f">
            <v:textbox style="mso-next-textbox:#_x0000_s5794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067"/>
                  </w:tblGrid>
                  <w:tr w:rsidR="009F51F8" w:rsidRPr="00D84CFC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9F51F8" w:rsidRDefault="009F51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סדר</w:t>
                        </w:r>
                      </w:p>
                      <w:p w:rsidR="009F51F8" w:rsidRPr="00D84CFC" w:rsidRDefault="009F51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הפלילי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9F51F8" w:rsidRDefault="009F51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סעיפים 114,113 ו-115 לחוק סדר הדין הפלילי [נוסח משולב], התשמ"ב-1982 28-</w:t>
                        </w:r>
                      </w:p>
                      <w:p w:rsidR="009F51F8" w:rsidRPr="00D84CFC" w:rsidRDefault="009F51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</w:tr>
                </w:tbl>
                <w:p w:rsidR="009F51F8" w:rsidRDefault="009F51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795" o:spid="_x0000_s1039" type="#_x0000_t202" style="position:absolute;left:0;text-align:left;margin-left:101.6pt;margin-top:65.3pt;width:438.15pt;height:396pt;z-index:12;mso-wrap-style:none;mso-position-horizontal-relative:page;mso-position-vertical-relative:page" stroked="f">
            <v:textbox style="mso-next-textbox:#_x0000_s5795" inset="0,0,0,0">
              <w:txbxContent>
                <w:p w:rsidR="009F51F8" w:rsidRDefault="009F51F8">
                  <w:pPr>
                    <w:pStyle w:val="OCRStyle4"/>
                    <w:ind w:left="310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9F51F8" w:rsidRDefault="009F51F8">
                  <w:pPr>
                    <w:pStyle w:val="OCRStyle4"/>
                    <w:ind w:left="3229"/>
                    <w:rPr>
                      <w:rtl/>
                    </w:rPr>
                  </w:pPr>
                  <w:r>
                    <w:rPr>
                      <w:rtl/>
                    </w:rPr>
                    <w:t>(סעיף 29ג)</w:t>
                  </w:r>
                </w:p>
                <w:p w:rsidR="009F51F8" w:rsidRDefault="009F51F8">
                  <w:pPr>
                    <w:pStyle w:val="OCRStyle4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1. חוק רישוי עסקים, התשכ"ח-1968 11.</w:t>
                  </w:r>
                </w:p>
                <w:p w:rsidR="009F51F8" w:rsidRDefault="009F51F8">
                  <w:pPr>
                    <w:pStyle w:val="OCRStyle4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2. חוק למניעת מפגעים, התשכ"א-1961 12, ותקנות שלפיו.</w:t>
                  </w:r>
                </w:p>
                <w:p w:rsidR="009F51F8" w:rsidRDefault="009F51F8">
                  <w:pPr>
                    <w:pStyle w:val="OCRStyle4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3. פקודת המודעות.18</w:t>
                  </w:r>
                </w:p>
                <w:p w:rsidR="009F51F8" w:rsidRDefault="009F51F8">
                  <w:pPr>
                    <w:pStyle w:val="OCRStyle4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4. פקודת בריאות העם, 1940 14.</w:t>
                  </w:r>
                </w:p>
                <w:p w:rsidR="009F51F8" w:rsidRDefault="009F51F8">
                  <w:pPr>
                    <w:pStyle w:val="OCRStyle4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5. פקודת בריאות העם (מזון), 1935 15.</w:t>
                  </w:r>
                </w:p>
                <w:p w:rsidR="009F51F8" w:rsidRDefault="009F51F8">
                  <w:pPr>
                    <w:pStyle w:val="OCRStyle4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6. הפרק השלישי לחוק ההתגוננות האזרחית, התשי"א-1951 16.</w:t>
                  </w:r>
                </w:p>
                <w:p w:rsidR="009F51F8" w:rsidRDefault="009F51F8">
                  <w:pPr>
                    <w:pStyle w:val="OCRStyle4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7. פקודת העיריות (אספקת מים), 1936 17.</w:t>
                  </w:r>
                </w:p>
                <w:p w:rsidR="009F51F8" w:rsidRDefault="009F51F8">
                  <w:pPr>
                    <w:pStyle w:val="OCRStyle4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8. חוק הסדרת מקומות רחצה, התשכ"ד-1964 18.</w:t>
                  </w:r>
                </w:p>
                <w:p w:rsidR="009F51F8" w:rsidRDefault="009F51F8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9. חוק לימוד חובה, התש"ט  - 1949 19.</w:t>
                  </w:r>
                </w:p>
                <w:p w:rsidR="009F51F8" w:rsidRDefault="009F51F8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10. חוק הבטיחות במקומות ציבוריים, התשכ"ג-.1963 20.</w:t>
                  </w:r>
                </w:p>
                <w:p w:rsidR="009F51F8" w:rsidRDefault="009F51F8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11. חוק הרשויות המקומיות (ביוב), התשכ"ב - 1962 21.</w:t>
                  </w:r>
                </w:p>
                <w:p w:rsidR="009F51F8" w:rsidRDefault="009F51F8">
                  <w:pPr>
                    <w:pStyle w:val="OCRStyle4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12. חוק שירותי הכבאות, התשי"ט-1959 22.</w:t>
                  </w:r>
                </w:p>
                <w:p w:rsidR="009F51F8" w:rsidRDefault="009F51F8">
                  <w:pPr>
                    <w:pStyle w:val="OCRStyle4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13. פקודת הכלבת.23</w:t>
                  </w:r>
                </w:p>
                <w:p w:rsidR="009F51F8" w:rsidRDefault="009F51F8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14. תקנות-שעת-חירום (אבטחת מוסדות חינוך), התשל"ד - 1974 24.</w:t>
                  </w:r>
                </w:p>
                <w:p w:rsidR="009F51F8" w:rsidRDefault="009F51F8">
                  <w:pPr>
                    <w:pStyle w:val="OCRStyle4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15. תקנות שימור חיפה (אגף הכרמל), .1943 25.</w:t>
                  </w:r>
                </w:p>
                <w:p w:rsidR="009F51F8" w:rsidRDefault="009F51F8">
                  <w:pPr>
                    <w:pStyle w:val="OCRStyle4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16. תקנות התעבורה (סדרי תנועה ושמירת הבטחון בכרמלית בחיפה), התשכ"א-</w:t>
                  </w:r>
                </w:p>
                <w:p w:rsidR="009F51F8" w:rsidRDefault="009F51F8">
                  <w:pPr>
                    <w:pStyle w:val="OCRStyle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1961</w:t>
                  </w:r>
                </w:p>
                <w:p w:rsidR="009F51F8" w:rsidRPr="00D84CFC" w:rsidRDefault="009F51F8">
                  <w:pPr>
                    <w:pStyle w:val="OCRStyle4"/>
                    <w:ind w:left="810"/>
                  </w:pPr>
                  <w:r>
                    <w:rPr>
                      <w:rtl/>
                    </w:rPr>
                    <w:t>17. תקנות מחלות בעלי חיים (שחיטת בהמות), התשכ"ד-1964 27."</w:t>
                  </w:r>
                </w:p>
              </w:txbxContent>
            </v:textbox>
            <w10:wrap anchorx="page" anchory="page"/>
          </v:shape>
        </w:pict>
      </w:r>
    </w:p>
    <w:p w:rsidR="009F51F8" w:rsidRDefault="009F51F8">
      <w:pPr>
        <w:rPr>
          <w:rtl/>
        </w:rPr>
      </w:pPr>
      <w:r>
        <w:rPr>
          <w:rtl/>
        </w:rPr>
        <w:br w:type="page"/>
      </w:r>
    </w:p>
    <w:p w:rsidR="009F51F8" w:rsidRDefault="00000000">
      <w:pPr>
        <w:rPr>
          <w:rtl/>
        </w:rPr>
      </w:pPr>
      <w:r>
        <w:pict>
          <v:shape id="_x0000_s5796" o:spid="_x0000_s1040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796" inset="0,0,0,0">
              <w:txbxContent>
                <w:p w:rsidR="009F51F8" w:rsidRDefault="009F51F8">
                  <w:r>
                    <w:rPr>
                      <w:rtl/>
                    </w:rPr>
                    <w:t>196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7" o:spid="_x0000_s1041" type="#_x0000_t202" style="position:absolute;left:0;text-align:left;margin-left:94.05pt;margin-top:576.05pt;width:404.3pt;height:157.6pt;z-index:20;mso-wrap-style:none;mso-position-horizontal-relative:page;mso-position-vertical-relative:page" stroked="f">
            <v:textbox style="mso-next-textbox:#_x0000_s5797" inset="0,0,0,0">
              <w:txbxContent>
                <w:p w:rsidR="009F51F8" w:rsidRDefault="009F51F8">
                  <w:pPr>
                    <w:pStyle w:val="OCRStyle5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29 חא''י, כרך א', עמ' 993.</w:t>
                  </w:r>
                </w:p>
                <w:p w:rsidR="009F51F8" w:rsidRPr="009F51F8" w:rsidRDefault="009F51F8">
                  <w:pPr>
                    <w:pStyle w:val="OCRStyle5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30 ס''ח התשי"ג, עמ' .149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8" o:spid="_x0000_s1042" type="#_x0000_t202" style="position:absolute;left:0;text-align:left;margin-left:129.5pt;margin-top:463pt;width:84.95pt;height:33.85pt;z-index:19;mso-wrap-style:none;mso-position-horizontal-relative:page;mso-position-vertical-relative:page" stroked="f">
            <v:textbox style="mso-next-textbox:#_x0000_s5798" inset="0,0,0,0">
              <w:txbxContent>
                <w:p w:rsidR="009F51F8" w:rsidRDefault="009F51F8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9F51F8" w:rsidRDefault="009F51F8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99" o:spid="_x0000_s1043" type="#_x0000_t202" style="position:absolute;left:0;text-align:left;margin-left:259pt;margin-top:464pt;width:82.55pt;height:37.8pt;z-index:18;mso-wrap-style:none;mso-position-horizontal-relative:page;mso-position-vertical-relative:page" stroked="f">
            <v:textbox style="mso-next-textbox:#_x0000_s5799" inset="0,0,0,0">
              <w:txbxContent>
                <w:p w:rsidR="009F51F8" w:rsidRDefault="009F51F8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F51F8" w:rsidRDefault="009F51F8">
                  <w:pPr>
                    <w:pStyle w:val="OCRStyle5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0" o:spid="_x0000_s1044" type="#_x0000_t202" style="position:absolute;left:0;text-align:left;margin-left:402.55pt;margin-top:491.15pt;width:91.65pt;height:35.45pt;z-index:17;mso-wrap-style:none;mso-position-horizontal-relative:page;mso-position-vertical-relative:page" stroked="f">
            <v:textbox style="mso-next-textbox:#_x0000_s5800" inset="0,0,0,0">
              <w:txbxContent>
                <w:p w:rsidR="009F51F8" w:rsidRDefault="009F51F8">
                  <w:pPr>
                    <w:pStyle w:val="OCRStyle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F51F8" w:rsidRDefault="009F51F8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01" o:spid="_x0000_s1045" type="#_x0000_t202" style="position:absolute;left:0;text-align:left;margin-left:106.55pt;margin-top:71.15pt;width:455.4pt;height:373.05pt;z-index:16;mso-wrap-style:none;mso-position-horizontal-relative:page;mso-position-vertical-relative:page" stroked="f">
            <v:textbox style="mso-next-textbox:#_x0000_s580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230"/>
                  </w:tblGrid>
                  <w:tr w:rsidR="009F51F8" w:rsidRPr="009F51F8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סעיף 501 לחוק העונשין, התשל"ז-1977 - בטל.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</w:tr>
                  <w:tr w:rsidR="009F51F8" w:rsidRPr="009F51F8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F51F8" w:rsidRP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פקודת בתי המשפט העירוניים 29 - בטלה.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פקודת בתי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העירוניים</w:t>
                        </w:r>
                      </w:p>
                    </w:tc>
                  </w:tr>
                  <w:tr w:rsidR="009F51F8" w:rsidRPr="009F51F8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בחוק השופטים, התשי"ג-301953 -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9, במקום "ושופטים ראשיים של בית משפט השלום" יבוא "ושל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השלום";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 (ב), בסופו יבוא "על אף האמור בסעיף קטן זה רשאי שופט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לצאת לקיצבה לאחר שכיהן עשרים שנים אם הגיע לגיל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או לאחר שכיהן חמש עשרה שנים אם הגיע לגיל חמישים וחמש,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שהודיע על כך לשר המשפטים שנה לפני מועד היציאה לקיצבה."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השופטים</w:t>
                        </w:r>
                      </w:p>
                    </w:tc>
                  </w:tr>
                  <w:tr w:rsidR="009F51F8" w:rsidRPr="009F51F8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תחילתם של סעיפים 8 ו-14 ביום י"ח בניסן התשמ"ג (1 באפריל 1983);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שהחל הדיון בו לפני היום האמור בבית משפט עירוני רשאי בית המשפט העירוני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לסיימו.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הוראות חוק זה ביום י"ג באלול התשמ"ב (1 בספטמבר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1982); ואולם -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3 יחול על בקשה לדיון נוסף שהגיש בעל דין אחרי היום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או ערעור על החלטת ראש ההוצאה לפועל שהדיון בה החל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האמור בבית משפט מחוזי בהרכב של שלושה יימשך הדיון</w:t>
                        </w:r>
                      </w:p>
                      <w:p w:rsid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בהרכב כאמור, ולא יחול סעיף 4;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7(1) לא יחול על תביעה שהוגשה לפני היום האמור.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9F51F8" w:rsidRPr="009F51F8" w:rsidRDefault="009F51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9F51F8" w:rsidRDefault="009F51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1C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D73EE0-4EE0-4367-BD2C-098BC730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1C5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348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C4C2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84CF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F51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2008-04-07T01:11:00Z</dcterms:created>
  <dcterms:modified xsi:type="dcterms:W3CDTF">2008-04-07T01:11:00Z</dcterms:modified>
</cp:coreProperties>
</file>