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623E" w:rsidRDefault="00FB623E">
      <w:pPr>
        <w:rPr>
          <w:rtl/>
        </w:rPr>
      </w:pPr>
    </w:p>
    <w:p w:rsidR="00FB62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831" inset="0,0,0,0">
              <w:txbxContent>
                <w:p w:rsidR="00FB623E" w:rsidRDefault="00FB623E">
                  <w:r>
                    <w:rPr>
                      <w:rtl/>
                    </w:rPr>
                    <w:t>22                                           ספר החוקים 643                   י"ב בטבת התשל"ב 30.12.1971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5832" o:spid="_x0000_s1026" type="#_x0000_t202" style="position:absolute;left:0;text-align:left;margin-left:83.95pt;margin-top:646.95pt;width:383.9pt;height:94.65pt;z-index:6;mso-position-horizontal-relative:page;mso-position-vertical-relative:page" stroked="f">
            <v:textbox style="mso-next-textbox:#_x0000_s5832" inset="0,0,0,0">
              <w:txbxContent>
                <w:p w:rsidR="00FB623E" w:rsidRDefault="00FB623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בטבת תשל''ב (20 בדצמבר 1971); הצעת החוק ודברי הסבר פורסמו בה"ח 973, תשל''ב,</w:t>
                  </w:r>
                </w:p>
                <w:p w:rsidR="00FB623E" w:rsidRDefault="00FB623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עמ' 110.</w:t>
                  </w:r>
                </w:p>
                <w:p w:rsidR="00FB623E" w:rsidRDefault="00FB623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21, עמי 459.</w:t>
                  </w:r>
                </w:p>
                <w:p w:rsidR="00FB623E" w:rsidRDefault="00FB623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 ס"ח תשכ''ט, עמ' .70</w:t>
                  </w:r>
                </w:p>
                <w:p w:rsidR="00FB623E" w:rsidRPr="00FB623E" w:rsidRDefault="00FB623E">
                  <w:pPr>
                    <w:pStyle w:val="OCRStyle1"/>
                    <w:ind w:left="4136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833" o:spid="_x0000_s1027" type="#_x0000_t202" style="position:absolute;left:0;text-align:left;margin-left:104.55pt;margin-top:583.95pt;width:99pt;height:36.25pt;z-index:5;mso-position-horizontal-relative:page;mso-position-vertical-relative:page" stroked="f">
            <v:textbox style="mso-next-textbox:#_x0000_s5833" inset="0,0,0,0">
              <w:txbxContent>
                <w:p w:rsidR="00FB623E" w:rsidRDefault="00FB623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FB623E" w:rsidRDefault="00FB623E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34" o:spid="_x0000_s1028" type="#_x0000_t202" style="position:absolute;left:0;text-align:left;margin-left:225.9pt;margin-top:584.95pt;width:100pt;height:39.6pt;z-index:4;mso-position-horizontal-relative:page;mso-position-vertical-relative:page" stroked="f">
            <v:textbox style="mso-next-textbox:#_x0000_s5834" inset="0,0,0,0">
              <w:txbxContent>
                <w:p w:rsidR="00FB623E" w:rsidRDefault="00FB623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B623E" w:rsidRDefault="00FB623E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35" o:spid="_x0000_s1029" type="#_x0000_t202" style="position:absolute;left:0;text-align:left;margin-left:348.25pt;margin-top:613.25pt;width:132.45pt;height:32.65pt;z-index:3;mso-position-horizontal-relative:page;mso-position-vertical-relative:page" stroked="f">
            <v:textbox style="mso-next-textbox:#_x0000_s5835" inset="0,0,0,0">
              <w:txbxContent>
                <w:p w:rsidR="00FB623E" w:rsidRDefault="00FB623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B623E" w:rsidRDefault="00FB623E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36" o:spid="_x0000_s1030" type="#_x0000_t202" style="position:absolute;left:0;text-align:left;margin-left:78.8pt;margin-top:443.8pt;width:466.5pt;height:136.05pt;z-index:2;mso-position-horizontal-relative:page;mso-position-vertical-relative:page" stroked="f">
            <v:textbox style="mso-next-textbox:#_x0000_s58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0"/>
                    <w:gridCol w:w="1257"/>
                    <w:gridCol w:w="1296"/>
                  </w:tblGrid>
                  <w:tr w:rsidR="00FB623E" w:rsidRPr="00FB623E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FB623E" w:rsidRP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בפרק ד' לפקודת בתי הסוהר (נוסח חדש], תשל"ב-1971 ,1 לפני סעיף 111 יבוא: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B623E" w:rsidRP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110א</w:t>
                        </w:r>
                      </w:p>
                    </w:tc>
                  </w:tr>
                  <w:tr w:rsidR="00FB623E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110א.(א) תובענה הבאה להתנגד לשימוש בסמכויות הנתונות לפי</w:t>
                        </w:r>
                      </w:p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לענין מינויו של סוהר בכיר, קביעתו של סוהר לתפקיד, העברתו</w:t>
                        </w:r>
                      </w:p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 לתפקיד או ממקום למקום בתפקיד, העלאתו בדרגה או הורדתו</w:t>
                        </w:r>
                      </w:p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מדרגתו, השעייתו מתפקידו או פיטוריו או שחרורו מן השירות, או</w:t>
                        </w:r>
                      </w:p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עיסוקו בעבודה מחוץ לתפקידיו במסגרת שירות בתי הסוהר - לא תיחשב</w:t>
                        </w:r>
                      </w:p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כתובענה הנובעת מיחסי עובד ומעביד לענין סעיף 24 לחוק בית הדין</w:t>
                        </w:r>
                      </w:p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לעבודה, תשכ"ט-1969. 2</w:t>
                        </w:r>
                      </w:p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"סוהר" - לרבות סוהר מוסף זמני."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"יחסים שאינם</w:t>
                        </w:r>
                      </w:p>
                      <w:p w:rsidR="00FB623E" w:rsidRP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עובד ומעביד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B623E" w:rsidRDefault="00FB6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B623E" w:rsidRDefault="00FB62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37" o:spid="_x0000_s1031" type="#_x0000_t202" style="position:absolute;left:0;text-align:left;margin-left:151.05pt;margin-top:419.6pt;width:260.75pt;height:21.6pt;z-index:1;mso-position-horizontal-relative:page;mso-position-vertical-relative:page" stroked="f">
            <v:textbox style="mso-next-textbox:#_x0000_s5837" inset="0,0,0,0">
              <w:txbxContent>
                <w:p w:rsidR="00FB623E" w:rsidRPr="00FB623E" w:rsidRDefault="00FB623E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הסוהר, תשל"ב-1971*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62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453246-C22A-4FC0-88FD-7425D61C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623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