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72D0E" w:rsidRDefault="00E72D0E">
      <w:pPr>
        <w:rPr>
          <w:rtl/>
        </w:rPr>
      </w:pPr>
    </w:p>
    <w:p w:rsidR="00E72D0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88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887" inset="0,0,0,0">
              <w:txbxContent>
                <w:p w:rsidR="00A21E5C" w:rsidRDefault="00A21E5C">
                  <w:r>
                    <w:rPr>
                      <w:rtl/>
                    </w:rPr>
                    <w:t>165                                         ספר החוקים 1015                כ"ח באדר ב' התשמ"א 03.04.1981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888" o:spid="_x0000_s1026" type="#_x0000_t202" style="position:absolute;left:0;text-align:left;margin-left:165.15pt;margin-top:635.4pt;width:386.5pt;height:83.55pt;z-index:3;mso-wrap-style:none;mso-position-horizontal-relative:page;mso-position-vertical-relative:page" stroked="f">
            <v:textbox style="mso-next-textbox:#_x0000_s5888" inset="0,0,0,0">
              <w:txbxContent>
                <w:p w:rsidR="00A21E5C" w:rsidRDefault="00A21E5C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באדר ב' התשמ"א (24 במרס 1981); הצעת החוק ודברי הסבר פורסמו בה"ח 1472,</w:t>
                  </w:r>
                </w:p>
                <w:p w:rsidR="00A21E5C" w:rsidRDefault="00A21E5C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התש"ם, עמ' 332.</w:t>
                  </w:r>
                </w:p>
                <w:p w:rsidR="00A21E5C" w:rsidRDefault="00A21E5C">
                  <w:pPr>
                    <w:pStyle w:val="OCRStyle1"/>
                    <w:ind w:left="1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התשי''ט, עמ' 276.</w:t>
                  </w:r>
                </w:p>
                <w:p w:rsidR="00A21E5C" w:rsidRDefault="00A21E5C">
                  <w:pPr>
                    <w:pStyle w:val="OCRStyle1"/>
                    <w:ind w:left="16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התש"י, עמ' .162</w:t>
                  </w:r>
                </w:p>
                <w:p w:rsidR="00A21E5C" w:rsidRPr="00E72D0E" w:rsidRDefault="00A21E5C">
                  <w:pPr>
                    <w:pStyle w:val="OCRStyle1"/>
                    <w:ind w:left="20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התש"ל, עמ' .65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889" o:spid="_x0000_s1027" type="#_x0000_t202" style="position:absolute;left:0;text-align:left;margin-left:101.4pt;margin-top:85.35pt;width:459.75pt;height:550.05pt;z-index:2;mso-wrap-style:none;mso-position-horizontal-relative:page;mso-position-vertical-relative:page" stroked="f">
            <v:textbox style="mso-next-textbox:#_x0000_s5889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7175"/>
                  </w:tblGrid>
                  <w:tr w:rsidR="00A21E5C" w:rsidRPr="00E72D0E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A21E5C" w:rsidRPr="00E72D0E" w:rsidRDefault="00A21E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A21E5C" w:rsidRDefault="00A21E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A21E5C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''סוהר" - אדם הנמנה עם שירות בתי הסוהר;</w:t>
                        </w:r>
                      </w:p>
                      <w:p w:rsidR="00A21E5C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הנכים" - חוק הנכים (תגמולים ושיקום), התשי"ט-1959 [נוסח משולב]1,</w:t>
                        </w:r>
                      </w:p>
                      <w:p w:rsidR="00A21E5C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והתקנות לפיו;</w:t>
                        </w:r>
                      </w:p>
                      <w:p w:rsidR="00A21E5C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-"חוק משפחות החיילים" - חוק משפחות חיילים שנספו במערכה (תגמולים ושיקום),</w:t>
                        </w:r>
                      </w:p>
                      <w:p w:rsidR="00A21E5C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התש"י-1950 2, והתקנות לפיו;</w:t>
                        </w:r>
                      </w:p>
                      <w:p w:rsidR="00A21E5C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הגמלאות" - חוק שירות המדינה (גמלאות) [נוסח משולב], התש"ל-1970 3;</w:t>
                        </w:r>
                      </w:p>
                      <w:p w:rsidR="00A21E5C" w:rsidRPr="00E72D0E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בשירות בתי הסוהר" - שירותו של סוהר בשירות בתי הסוהר.</w:t>
                        </w:r>
                      </w:p>
                    </w:tc>
                  </w:tr>
                  <w:tr w:rsidR="00A21E5C" w:rsidRPr="00E72D0E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A21E5C" w:rsidRPr="00E72D0E" w:rsidRDefault="00A21E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סוהר נכה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A21E5C" w:rsidRDefault="00A21E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חוק הנכים יחול על סוהר, ולענין זה - כל מקום בחוק הנכים שמדובר בו בחייל,</w:t>
                        </w:r>
                      </w:p>
                      <w:p w:rsidR="00A21E5C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בחייל המשרת בצבא -הגנה לישראל על פי התחייבות לשירות קבע, בשירות או בשירות</w:t>
                        </w:r>
                      </w:p>
                      <w:p w:rsidR="00A21E5C" w:rsidRPr="00E72D0E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צבאי, ייקרא כאילו מדובר בסוהר או בשירות בתי הסוהר, הכל לפי הענין.</w:t>
                        </w:r>
                      </w:p>
                    </w:tc>
                  </w:tr>
                  <w:tr w:rsidR="00A21E5C" w:rsidRPr="00E72D0E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A21E5C" w:rsidRDefault="00A21E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משפחת</w:t>
                        </w:r>
                      </w:p>
                      <w:p w:rsidR="00A21E5C" w:rsidRPr="00E72D0E" w:rsidRDefault="00A21E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סוהר שנספה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A21E5C" w:rsidRDefault="00A21E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חוק משפחות החיילים יחול על סוהר שנפטר ועל בני משפחתו של סוהר שנפטר,</w:t>
                        </w:r>
                      </w:p>
                      <w:p w:rsidR="00A21E5C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זה - כל מקום בחוק משפחות החיילים שמדובר בו בחייל, בשירות או בשירות</w:t>
                        </w:r>
                      </w:p>
                      <w:p w:rsidR="00A21E5C" w:rsidRPr="00E72D0E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ייקרא כאילו מדובר בסוהר או בשירות בשירות בתי הסוהר, הכל לפי הענין.</w:t>
                        </w:r>
                      </w:p>
                    </w:tc>
                  </w:tr>
                  <w:tr w:rsidR="00A21E5C" w:rsidRPr="00E72D0E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A21E5C" w:rsidRPr="00E72D0E" w:rsidRDefault="00A21E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ברירה 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A21E5C" w:rsidRDefault="00A21E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נפטר סוהר כתוצאה ממחלה או החמרת מחלה, בנסיבות שהיו מזכות את בני</w:t>
                        </w:r>
                      </w:p>
                      <w:p w:rsidR="00A21E5C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משפחתו לתגמולים לפי חוק משפחות החיילים לולא הוראות סעיף זה, רשאים בני המשפחה</w:t>
                        </w:r>
                      </w:p>
                      <w:p w:rsidR="00A21E5C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גם שאירים לפי חוק הגמלאות לבחור באחד מאלה:</w:t>
                        </w:r>
                      </w:p>
                      <w:p w:rsidR="00A21E5C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קצבה כאמור בסעיף 77(ד)(1) לחוק הגמלאות;</w:t>
                        </w:r>
                      </w:p>
                      <w:p w:rsidR="00A21E5C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קצבה כאמור בסעיף 77(ד)(2) לחוק הגמלאות;</w:t>
                        </w:r>
                      </w:p>
                      <w:p w:rsidR="00A21E5C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תגמולים לפי חוק משפחות החיילים, בתוספת קצבה כאמור בסעיף</w:t>
                        </w:r>
                      </w:p>
                      <w:p w:rsidR="00A21E5C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78(ג) לחוק הגמלאות;</w:t>
                        </w:r>
                      </w:p>
                      <w:p w:rsidR="00A21E5C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תגמולים לפי חוק משפחות החיילים בתוספת המענק המשתלם לפי</w:t>
                        </w:r>
                      </w:p>
                      <w:p w:rsidR="00A21E5C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27 או 40 לחוק הגמלאות במקום הקצבה המשתלמת לפי סעיף 78(ג)</w:t>
                        </w:r>
                      </w:p>
                      <w:p w:rsidR="00A21E5C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הגמלאות.</w:t>
                        </w:r>
                      </w:p>
                      <w:p w:rsidR="00A21E5C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בני משפחה כאמור שנתקיימו בהם התנאים לזכאות לפי סעיף 77(ה) לחוק</w:t>
                        </w:r>
                      </w:p>
                      <w:p w:rsidR="00A21E5C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הגמלאות, רשאים לבחור, במקום זכויותיהם לפי סעיף קטן (א), בתגמולים לפי חוק משפחות</w:t>
                        </w:r>
                      </w:p>
                      <w:p w:rsidR="00A21E5C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החיילים וכגמלאות לפי סעיף 77(ה) האמור.</w:t>
                        </w:r>
                      </w:p>
                      <w:p w:rsidR="00A21E5C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77(ו) לחוק הגמלאות יחול, בשינויים המחריבים, גם על גמלאות לפי</w:t>
                        </w:r>
                      </w:p>
                      <w:p w:rsidR="00A21E5C" w:rsidRPr="00E72D0E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הגמלאות המשתלמות לפי סעיף זה.</w:t>
                        </w:r>
                      </w:p>
                    </w:tc>
                  </w:tr>
                  <w:tr w:rsidR="00A21E5C" w:rsidRPr="00E72D0E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A21E5C" w:rsidRPr="00E72D0E" w:rsidRDefault="00A21E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אזכורים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A21E5C" w:rsidRDefault="00A21E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כל חיקוק שבו מדובר בחוק הנכים או בחוק משפחות החיילים ייקרא כאילו מדובר</w:t>
                        </w:r>
                      </w:p>
                      <w:p w:rsidR="00A21E5C" w:rsidRPr="00E72D0E" w:rsidRDefault="00A21E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גם בחוק זה.</w:t>
                        </w:r>
                      </w:p>
                    </w:tc>
                  </w:tr>
                </w:tbl>
                <w:p w:rsidR="00A21E5C" w:rsidRDefault="00A21E5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890" o:spid="_x0000_s1028" type="#_x0000_t202" style="position:absolute;left:0;text-align:left;margin-left:220.2pt;margin-top:57.85pt;width:290.85pt;height:24.95pt;z-index:1;mso-wrap-style:none;mso-position-horizontal-relative:page;mso-position-vertical-relative:page" stroked="f">
            <v:textbox style="mso-next-textbox:#_x0000_s5890" inset="0,0,0,0">
              <w:txbxContent>
                <w:p w:rsidR="00A21E5C" w:rsidRPr="00E72D0E" w:rsidRDefault="00A21E5C">
                  <w:pPr>
                    <w:pStyle w:val="OCRStyle1"/>
                    <w:ind w:left="29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בתי הסוהר (נכים ונספים), התשמ"א-1981*</w:t>
                  </w:r>
                </w:p>
              </w:txbxContent>
            </v:textbox>
            <w10:wrap anchorx="page" anchory="page"/>
          </v:shape>
        </w:pict>
      </w:r>
    </w:p>
    <w:p w:rsidR="00A21E5C" w:rsidRDefault="00A21E5C">
      <w:pPr>
        <w:rPr>
          <w:rtl/>
        </w:rPr>
      </w:pPr>
      <w:r>
        <w:rPr>
          <w:rtl/>
        </w:rPr>
        <w:br w:type="page"/>
      </w:r>
    </w:p>
    <w:p w:rsidR="00A21E5C" w:rsidRDefault="00000000">
      <w:pPr>
        <w:rPr>
          <w:rtl/>
        </w:rPr>
      </w:pPr>
      <w:r>
        <w:pict>
          <v:shape id="_x0000_s589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891" inset="0,0,0,0">
              <w:txbxContent>
                <w:p w:rsidR="00A21E5C" w:rsidRDefault="00A21E5C">
                  <w:r>
                    <w:rPr>
                      <w:rtl/>
                    </w:rPr>
                    <w:t>166                                         ספר החוקים 1015                כ"ח באדר ב' התשמ"א 03.04.1981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892" o:spid="_x0000_s1030" type="#_x0000_t202" style="position:absolute;left:0;text-align:left;margin-left:366.7pt;margin-top:388.85pt;width:113.65pt;height:22.35pt;z-index:9;mso-wrap-style:none;mso-position-horizontal-relative:page;mso-position-vertical-relative:page" stroked="f">
            <v:textbox style="mso-next-textbox:#_x0000_s5892" inset="0,0,0,0">
              <w:txbxContent>
                <w:p w:rsidR="00A21E5C" w:rsidRPr="00A21E5C" w:rsidRDefault="00A21E5C">
                  <w:pPr>
                    <w:pStyle w:val="OCRStyle2"/>
                    <w:ind w:left="16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ס"ח התש"ך, עמ' 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5893" o:spid="_x0000_s1031" type="#_x0000_t202" style="position:absolute;left:0;text-align:left;margin-left:93.85pt;margin-top:317.55pt;width:80pt;height:41.2pt;z-index:8;mso-wrap-style:none;mso-position-horizontal-relative:page;mso-position-vertical-relative:page" stroked="f">
            <v:textbox style="mso-next-textbox:#_x0000_s5893" inset="0,0,0,0">
              <w:txbxContent>
                <w:p w:rsidR="00A21E5C" w:rsidRDefault="00A21E5C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A21E5C" w:rsidRDefault="00A21E5C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894" o:spid="_x0000_s1032" type="#_x0000_t202" style="position:absolute;left:0;text-align:left;margin-left:240.15pt;margin-top:317.55pt;width:86.9pt;height:37.8pt;z-index:7;mso-wrap-style:none;mso-position-horizontal-relative:page;mso-position-vertical-relative:page" stroked="f">
            <v:textbox style="mso-next-textbox:#_x0000_s5894" inset="0,0,0,0">
              <w:txbxContent>
                <w:p w:rsidR="00A21E5C" w:rsidRDefault="00A21E5C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A21E5C" w:rsidRDefault="00A21E5C">
                  <w:pPr>
                    <w:pStyle w:val="OCRStyle2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895" o:spid="_x0000_s1033" type="#_x0000_t202" style="position:absolute;left:0;text-align:left;margin-left:390.85pt;margin-top:345.1pt;width:92.85pt;height:37.8pt;z-index:6;mso-wrap-style:none;mso-position-horizontal-relative:page;mso-position-vertical-relative:page" stroked="f">
            <v:textbox style="mso-next-textbox:#_x0000_s5895" inset="0,0,0,0">
              <w:txbxContent>
                <w:p w:rsidR="00A21E5C" w:rsidRDefault="00A21E5C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A21E5C" w:rsidRDefault="00A21E5C">
                  <w:pPr>
                    <w:pStyle w:val="OCRStyle2"/>
                    <w:ind w:left="2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896" o:spid="_x0000_s1034" type="#_x0000_t202" style="position:absolute;left:0;text-align:left;margin-left:87.7pt;margin-top:56.6pt;width:464.9pt;height:241.15pt;z-index:5;mso-wrap-style:none;mso-position-horizontal-relative:page;mso-position-vertical-relative:page" stroked="f">
            <v:textbox style="mso-next-textbox:#_x0000_s5896" inset="0,0,0,0">
              <w:txbxContent>
                <w:tbl>
                  <w:tblPr>
                    <w:tblW w:w="49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4"/>
                    <w:gridCol w:w="1237"/>
                  </w:tblGrid>
                  <w:tr w:rsidR="00A21E5C" w:rsidRPr="00A21E5C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A21E5C" w:rsidRDefault="00A21E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כל חיקוק המעניק או נותן סמכות להעניק זכות יתר, פטול, שחרור מלא או חלקי</w:t>
                        </w:r>
                      </w:p>
                      <w:p w:rsidR="00A21E5C" w:rsidRDefault="00A21E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מחובה המוטלת על פי דין או עדיפות או זכות אחרת, הניתנים לחייל נכה כמשמעותו</w:t>
                        </w:r>
                      </w:p>
                      <w:p w:rsidR="00A21E5C" w:rsidRDefault="00A21E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הנכים או לבן משפחה של חייל שנספה כמשמעותו בחוק משפחות החיילים, רואים</w:t>
                        </w:r>
                      </w:p>
                      <w:p w:rsidR="00A21E5C" w:rsidRDefault="00A21E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כמעניק או נותן סמכות להעניק אותם גם לסוהר נכה או לבן משפחה של סוהר</w:t>
                        </w:r>
                      </w:p>
                      <w:p w:rsidR="00A21E5C" w:rsidRDefault="00A21E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שנספה.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A21E5C" w:rsidRPr="00A21E5C" w:rsidRDefault="00A21E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יתר</w:t>
                        </w:r>
                      </w:p>
                    </w:tc>
                  </w:tr>
                  <w:tr w:rsidR="00A21E5C" w:rsidRPr="00A21E5C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A21E5C" w:rsidRDefault="00A21E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לענין סעיף 3 לחוק משפחות החיילים, במקום רשות צבאית מוסמכת יבוא, לגבי</w:t>
                        </w:r>
                      </w:p>
                      <w:p w:rsidR="00A21E5C" w:rsidRPr="00A21E5C" w:rsidRDefault="00A21E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סוהר שנעדר, סוהר בכיר ששר הפנים מינהו לענין סעיף זה.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A21E5C" w:rsidRPr="00A21E5C" w:rsidRDefault="00A21E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סוהר שנעדר</w:t>
                        </w:r>
                      </w:p>
                    </w:tc>
                  </w:tr>
                  <w:tr w:rsidR="00A21E5C" w:rsidRPr="00A21E5C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A21E5C" w:rsidRPr="00A21E5C" w:rsidRDefault="00A21E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חוק שירות בתי הסוהר (נכים ונספים), התש"ך-1960 4- בטל.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A21E5C" w:rsidRPr="00A21E5C" w:rsidRDefault="00A21E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A21E5C" w:rsidRPr="00A21E5C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A21E5C" w:rsidRDefault="00A21E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חוק זה יחול, לגבי התקופה שלאחר פרסומו, גם על מי שפרש מהשירות בשירות בתי</w:t>
                        </w:r>
                      </w:p>
                      <w:p w:rsidR="00A21E5C" w:rsidRDefault="00A21E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 לפני הפרסום ועל בני משפחתו של סוהר שנפטר לפני הפרסום, למעט -</w:t>
                        </w:r>
                      </w:p>
                      <w:p w:rsidR="00A21E5C" w:rsidRDefault="00A21E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שהגיש בקשה לפי סעיף 4 לחוק שירות בתי הסוהר (נכים ונספים),</w:t>
                        </w:r>
                      </w:p>
                      <w:p w:rsidR="00A21E5C" w:rsidRDefault="00A21E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התש"ר-1960, והיא נדחתה;</w:t>
                        </w:r>
                      </w:p>
                      <w:p w:rsidR="00A21E5C" w:rsidRDefault="00A21E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שהגיש בקשה כאמור, או בקשה לקצין התגמולים, אחרי שעברה-</w:t>
                        </w:r>
                      </w:p>
                      <w:p w:rsidR="00A21E5C" w:rsidRPr="00A21E5C" w:rsidRDefault="00A21E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ההתיישנות החלה לגביו לפי סעיף 8 לחוק האמור.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A21E5C" w:rsidRPr="00A21E5C" w:rsidRDefault="00A21E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A21E5C" w:rsidRDefault="00A21E5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72D0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3B74BED-8B30-4159-8329-4ABF7741B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72D0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21E5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2008-04-07T00:38:00Z</dcterms:created>
  <dcterms:modified xsi:type="dcterms:W3CDTF">2008-04-07T00:38:00Z</dcterms:modified>
</cp:coreProperties>
</file>