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A36" w:rsidRDefault="009F6A36">
      <w:pPr>
        <w:rPr>
          <w:rtl/>
        </w:rPr>
      </w:pPr>
    </w:p>
    <w:p w:rsidR="009F6A3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9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897" inset="0,0,0,0">
              <w:txbxContent>
                <w:p w:rsidR="00AF7B8B" w:rsidRDefault="00AF7B8B">
                  <w:r>
                    <w:rPr>
                      <w:rtl/>
                    </w:rPr>
                    <w:t>263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8" o:spid="_x0000_s1026" type="#_x0000_t202" style="position:absolute;left:0;text-align:left;margin-left:160.85pt;margin-top:631.9pt;width:396pt;height:114.25pt;z-index:7;mso-position-horizontal-relative:page;mso-position-vertical-relative:page" stroked="f">
            <v:textbox style="mso-next-textbox:#_x0000_s5898" inset="0,0,0,0">
              <w:txbxContent>
                <w:p w:rsidR="00AF7B8B" w:rsidRDefault="00AF7B8B">
                  <w:pPr>
                    <w:pStyle w:val="OCRStyle1"/>
                    <w:ind w:left="7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תש"י (25 ביולי 1950): הצעת החוק ודברי הסבר נתפרסמו</w:t>
                  </w:r>
                </w:p>
                <w:p w:rsidR="00AF7B8B" w:rsidRDefault="00AF7B8B">
                  <w:pPr>
                    <w:pStyle w:val="OCRStyle1"/>
                    <w:ind w:left="914"/>
                    <w:rPr>
                      <w:rtl/>
                    </w:rPr>
                  </w:pPr>
                  <w:r>
                    <w:rPr>
                      <w:rtl/>
                    </w:rPr>
                    <w:t>בהצעות חוק 40 מיום י"ד בתמוז תש"י (20.6.50), עמ' 205.</w:t>
                  </w:r>
                </w:p>
                <w:p w:rsidR="00AF7B8B" w:rsidRDefault="00AF7B8B">
                  <w:pPr>
                    <w:pStyle w:val="OCRStyle1"/>
                    <w:ind w:left="781"/>
                    <w:rPr>
                      <w:rtl/>
                    </w:rPr>
                  </w:pPr>
                  <w:r>
                    <w:rPr>
                      <w:rtl/>
                    </w:rPr>
                    <w:t>1 חוקי א"י, כרך ב', טרק צ"ז, עט' 005.</w:t>
                  </w:r>
                </w:p>
                <w:p w:rsidR="00AF7B8B" w:rsidRDefault="00AF7B8B">
                  <w:pPr>
                    <w:pStyle w:val="OCRStyle1"/>
                    <w:ind w:left="763"/>
                  </w:pPr>
                  <w:r>
                    <w:rPr>
                      <w:rtl/>
                    </w:rPr>
                    <w:t>2 ע"ר מס' 1457 מיום 24.11.45, חוס' 1, עט' .153</w:t>
                  </w:r>
                </w:p>
              </w:txbxContent>
            </v:textbox>
            <w10:wrap anchorx="page" anchory="page"/>
          </v:shape>
        </w:pict>
      </w:r>
      <w:r>
        <w:pict>
          <v:shape id="_x0000_s5899" o:spid="_x0000_s1027" type="#_x0000_t202" style="position:absolute;left:0;text-align:left;margin-left:170.75pt;margin-top:230.55pt;width:75.65pt;height:38.6pt;z-index:6;mso-position-horizontal-relative:page;mso-position-vertical-relative:page" stroked="f">
            <v:textbox style="mso-next-textbox:#_x0000_s5899" inset="0,0,0,0">
              <w:txbxContent>
                <w:p w:rsidR="00AF7B8B" w:rsidRDefault="00AF7B8B">
                  <w:pPr>
                    <w:pStyle w:val="OCRStyle1"/>
                    <w:ind w:left="10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פנחס רוזן</w:t>
                  </w:r>
                </w:p>
                <w:p w:rsidR="00AF7B8B" w:rsidRPr="009F6A36" w:rsidRDefault="00AF7B8B">
                  <w:pPr>
                    <w:pStyle w:val="OCRStyle1"/>
                    <w:ind w:left="16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0" o:spid="_x0000_s1028" type="#_x0000_t202" style="position:absolute;left:0;text-align:left;margin-left:266.2pt;margin-top:232.35pt;width:100.8pt;height:40.6pt;z-index:5;mso-position-horizontal-relative:page;mso-position-vertical-relative:page" stroked="f">
            <v:textbox style="mso-next-textbox:#_x0000_s5900" inset="0,0,0,0">
              <w:txbxContent>
                <w:p w:rsidR="00AF7B8B" w:rsidRDefault="00AF7B8B">
                  <w:pPr>
                    <w:pStyle w:val="OCRStyle1"/>
                    <w:ind w:left="19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דוד בן-גוריון</w:t>
                  </w:r>
                </w:p>
                <w:p w:rsidR="00AF7B8B" w:rsidRPr="009F6A36" w:rsidRDefault="00AF7B8B">
                  <w:pPr>
                    <w:pStyle w:val="OCRStyle1"/>
                    <w:ind w:left="43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1" o:spid="_x0000_s1029" type="#_x0000_t202" style="position:absolute;left:0;text-align:left;margin-left:406.6pt;margin-top:263.8pt;width:136.8pt;height:64.75pt;z-index:4;mso-position-horizontal-relative:page;mso-position-vertical-relative:page" stroked="f">
            <v:textbox style="mso-next-textbox:#_x0000_s5901" inset="0,0,0,0">
              <w:txbxContent>
                <w:p w:rsidR="00AF7B8B" w:rsidRDefault="00AF7B8B">
                  <w:pPr>
                    <w:pStyle w:val="OCRStyle1"/>
                    <w:ind w:left="35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יוסף שפרינצק</w:t>
                  </w:r>
                </w:p>
                <w:p w:rsidR="00AF7B8B" w:rsidRDefault="00AF7B8B">
                  <w:pPr>
                    <w:pStyle w:val="OCRStyle1"/>
                    <w:ind w:left="45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יושב ראש הכנסת</w:t>
                  </w:r>
                </w:p>
                <w:p w:rsidR="00AF7B8B" w:rsidRPr="009F6A36" w:rsidRDefault="00AF7B8B">
                  <w:pPr>
                    <w:pStyle w:val="OCRStyle1"/>
                    <w:ind w:left="13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2" o:spid="_x0000_s1030" type="#_x0000_t202" style="position:absolute;left:0;text-align:left;margin-left:102.45pt;margin-top:154.1pt;width:443.7pt;height:61.95pt;z-index:3;mso-position-horizontal-relative:page;mso-position-vertical-relative:page" stroked="f">
            <v:textbox style="mso-next-textbox:#_x0000_s5902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6"/>
                    <w:gridCol w:w="6871"/>
                  </w:tblGrid>
                  <w:tr w:rsidR="00AF7B8B" w:rsidRPr="009F6A36">
                    <w:trPr>
                      <w:jc w:val="right"/>
                    </w:trPr>
                    <w:tc>
                      <w:tcPr>
                        <w:tcW w:w="741" w:type="pct"/>
                      </w:tcPr>
                      <w:p w:rsidR="00AF7B8B" w:rsidRDefault="00AF7B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פקודת</w:t>
                        </w:r>
                      </w:p>
                      <w:p w:rsidR="00AF7B8B" w:rsidRDefault="00AF7B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בתי המשפט</w:t>
                        </w:r>
                      </w:p>
                      <w:p w:rsidR="00AF7B8B" w:rsidRDefault="00AF7B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העירוניים</w:t>
                        </w:r>
                      </w:p>
                    </w:tc>
                    <w:tc>
                      <w:tcPr>
                        <w:tcW w:w="4259" w:type="pct"/>
                      </w:tcPr>
                      <w:p w:rsidR="00AF7B8B" w:rsidRDefault="00AF7B8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פקודת בתי המשפט העירוניים 1 תתוקן כך:</w:t>
                        </w:r>
                      </w:p>
                      <w:p w:rsidR="00AF7B8B" w:rsidRDefault="00AF7B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בתנאי לסעיף 4(1), במקום המלים "עשרים פונטים", יבואו המלים "מאה</w:t>
                        </w:r>
                      </w:p>
                      <w:p w:rsidR="00AF7B8B" w:rsidRPr="009F6A36" w:rsidRDefault="00AF7B8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לירות".</w:t>
                        </w:r>
                      </w:p>
                    </w:tc>
                  </w:tr>
                </w:tbl>
                <w:p w:rsidR="00AF7B8B" w:rsidRDefault="00AF7B8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903" o:spid="_x0000_s1031" type="#_x0000_t202" style="position:absolute;left:0;text-align:left;margin-left:184.45pt;margin-top:118.9pt;width:341.95pt;height:27.15pt;z-index:2;mso-position-horizontal-relative:page;mso-position-vertical-relative:page" stroked="f">
            <v:textbox style="mso-next-textbox:#_x0000_s5903" inset="0,0,0,0">
              <w:txbxContent>
                <w:p w:rsidR="00AF7B8B" w:rsidRPr="009F6A36" w:rsidRDefault="00AF7B8B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המשפט העירוניים,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4" o:spid="_x0000_s1032" type="#_x0000_t202" style="position:absolute;left:0;text-align:left;margin-left:103.25pt;margin-top:75.7pt;width:70.3pt;height:25.15pt;z-index:1;mso-position-horizontal-relative:page;mso-position-vertical-relative:page" stroked="f">
            <v:textbox style="mso-next-textbox:#_x0000_s5904" inset="0,0,0,0">
              <w:txbxContent>
                <w:p w:rsidR="00AF7B8B" w:rsidRPr="009F6A36" w:rsidRDefault="00AF7B8B">
                  <w:pPr>
                    <w:pStyle w:val="OCRStyle1"/>
                    <w:ind w:left="22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מספר 59</w:t>
                  </w:r>
                </w:p>
              </w:txbxContent>
            </v:textbox>
            <w10:wrap anchorx="page" anchory="page"/>
          </v:shape>
        </w:pict>
      </w:r>
    </w:p>
    <w:p w:rsidR="00AF7B8B" w:rsidRDefault="00AF7B8B">
      <w:pPr>
        <w:rPr>
          <w:rtl/>
        </w:rPr>
      </w:pPr>
      <w:r>
        <w:rPr>
          <w:rtl/>
        </w:rPr>
        <w:br w:type="page"/>
      </w:r>
    </w:p>
    <w:p w:rsidR="00AF7B8B" w:rsidRDefault="00000000">
      <w:pPr>
        <w:rPr>
          <w:rtl/>
        </w:rPr>
      </w:pPr>
      <w:r>
        <w:pict>
          <v:shape id="_x0000_s5905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905" inset="0,0,0,0">
              <w:txbxContent>
                <w:p w:rsidR="00AF7B8B" w:rsidRDefault="00AF7B8B">
                  <w:r>
                    <w:rPr>
                      <w:rtl/>
                    </w:rPr>
                    <w:t>264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5906" o:spid="_x0000_s1034" type="#_x0000_t202" style="position:absolute;left:0;text-align:left;margin-left:89.95pt;margin-top:715.1pt;width:157.4pt;height:36.85pt;z-index:9;mso-position-horizontal-relative:page;mso-position-vertical-relative:page" stroked="f">
            <v:textbox style="mso-next-textbox:#_x0000_s5906" inset="0,0,0,0">
              <w:txbxContent>
                <w:p w:rsidR="00AF7B8B" w:rsidRDefault="00AF7B8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F6A3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378659-99A7-48BA-BCB1-1ADE86A7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F6A3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F7B8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2008-04-06T17:55:00Z</dcterms:created>
  <dcterms:modified xsi:type="dcterms:W3CDTF">2008-04-06T17:55:00Z</dcterms:modified>
</cp:coreProperties>
</file>