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1133" w:rsidRDefault="00F01133">
      <w:pPr>
        <w:rPr>
          <w:rtl/>
        </w:rPr>
      </w:pPr>
    </w:p>
    <w:p w:rsidR="00F0113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01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6011" inset="0,0,0,0">
              <w:txbxContent>
                <w:p w:rsidR="00063DF4" w:rsidRDefault="00063DF4">
                  <w:r>
                    <w:rPr>
                      <w:rtl/>
                    </w:rPr>
                    <w:t>128                                          ספר החוקים 156                  ל' בסיוון התשי"ד 01.07.1954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6012" o:spid="_x0000_s1026" type="#_x0000_t202" style="position:absolute;left:0;text-align:left;margin-left:86pt;margin-top:720.15pt;width:396pt;height:95.25pt;z-index:4;mso-position-horizontal-relative:page;mso-position-vertical-relative:page" stroked="f">
            <v:textbox style="mso-next-textbox:#_x0000_s6012" inset="0,0,0,0">
              <w:txbxContent>
                <w:p w:rsidR="00063DF4" w:rsidRDefault="00063DF4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בסיו; תשי"ד (21 ביוני 1954); הצעת החוק ודברי הסבר נתפרסמו בה"ח</w:t>
                  </w:r>
                </w:p>
                <w:p w:rsidR="00063DF4" w:rsidRDefault="00063DF4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198, תשי"ד, עט' 129.</w:t>
                  </w:r>
                </w:p>
                <w:p w:rsidR="00063DF4" w:rsidRDefault="00063DF4">
                  <w:pPr>
                    <w:pStyle w:val="OCRStyle1"/>
                    <w:ind w:left="1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113, תש י "ג, עמ' .6</w:t>
                  </w:r>
                </w:p>
                <w:p w:rsidR="00063DF4" w:rsidRPr="00F01133" w:rsidRDefault="00063DF4">
                  <w:pPr>
                    <w:pStyle w:val="OCRStyle1"/>
                    <w:ind w:left="2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חוקי א"י, כרך בי, פרק קל"ז, עט' .1374</w:t>
                  </w:r>
                </w:p>
              </w:txbxContent>
            </v:textbox>
            <w10:wrap anchorx="page" anchory="page"/>
          </v:shape>
        </w:pict>
      </w:r>
      <w:r>
        <w:pict>
          <v:shape id="_x0000_s6013" o:spid="_x0000_s1027" type="#_x0000_t202" style="position:absolute;left:0;text-align:left;margin-left:89.75pt;margin-top:123.35pt;width:486.5pt;height:588.45pt;z-index:3;mso-position-horizontal-relative:page;mso-position-vertical-relative:page" stroked="f">
            <v:textbox style="mso-next-textbox:#_x0000_s601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2"/>
                    <w:gridCol w:w="1373"/>
                  </w:tblGrid>
                  <w:tr w:rsidR="00063DF4" w:rsidRPr="00F01133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063DF4" w:rsidRDefault="00063DF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בתים משותפים, תשי"ג-1952 י (להלן - החוק העיקרי)' בהגדרת</w:t>
                        </w:r>
                      </w:p>
                      <w:p w:rsidR="00063DF4" w:rsidRPr="00F01133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"עסקה'/ יימחקו המלים "לרבות רישום בפנקס הבתים המשותפים כאמור בפרק השני".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063DF4" w:rsidRPr="00F01133" w:rsidRDefault="00063D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תיקוי סעיף 1</w:t>
                        </w:r>
                      </w:p>
                    </w:tc>
                  </w:tr>
                  <w:tr w:rsidR="00063DF4" w:rsidRPr="00F01133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063DF4" w:rsidRDefault="00063D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5 (ב) לחוק העיקרי, בסופו של פרט (2), יווספו המלים: "או תשריט אחר</w:t>
                        </w:r>
                      </w:p>
                      <w:p w:rsidR="00063DF4" w:rsidRPr="00F01133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הנותן, להנחת דעתו של הפקיד המוסמך, תמונה נאמנה של הבית ושל דירותיו".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063DF4" w:rsidRPr="00F01133" w:rsidRDefault="00063D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תיקו; סעיף.:</w:t>
                        </w:r>
                      </w:p>
                    </w:tc>
                  </w:tr>
                  <w:tr w:rsidR="00063DF4" w:rsidRPr="00F01133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063DF4" w:rsidRDefault="00063D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17 לחוק העיקרי יווסף סעיף זה: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"תיקון 17א. (א) פקיד מוסמך רשאי' על פי בקשת מעונין, לתקן צו רישום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רישום שניתן לגבי בית משותף.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ההוראות בדבר זכות ההתנגדות לבקשת רישום בית, סדרי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בבקשה ובהתנגדות, סמכויות הפקיד המוסמך והערעור לבית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יחולו' בשינויים המחוייבים על פי הענין, על בקשה לתיקון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רישום.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הפקיד המוסמך המתקנת צו רישום, דינה לכל דבר</w:t>
                        </w:r>
                      </w:p>
                      <w:p w:rsidR="00063DF4" w:rsidRPr="00F01133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צו רישום,"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063DF4" w:rsidRDefault="00063D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063DF4" w:rsidRPr="00F01133" w:rsidRDefault="00063D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17א</w:t>
                        </w:r>
                      </w:p>
                    </w:tc>
                  </w:tr>
                  <w:tr w:rsidR="00063DF4" w:rsidRPr="00F01133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063DF4" w:rsidRDefault="00063D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20 (ב) לחוק העיקרי/ יסומן הקטע מהמלים "סעיפים 1008 - 1044 למגילה"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 כפסקה (1)' ואחריו יווספו פסקאות אלה: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ההוראה שבסעיף 12 לפקודת המסים (גביה) 2, האוסרת רישום עסקה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 הממשלה אלא אם כן הוברר כי שולמו המסים, והוראות כיוצא באלה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דינים אחרים הקובעים מסים, ארנונות, היטלים או תשלומי חובה אחרים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המדינה או רשות מקומית, לא יחולו על רישום בית בפנקס וכן על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דירה שסעיף 40 או 40א חל עליה;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הוראת דין האוסרת הורשת מקרקעים מסוג מסויים בדרך צוואה לא תחול</w:t>
                        </w:r>
                      </w:p>
                      <w:p w:rsidR="00063DF4" w:rsidRPr="00F01133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דירה מאותו סוג."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063DF4" w:rsidRPr="00F01133" w:rsidRDefault="00063D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תיקו! סעיף 20</w:t>
                        </w:r>
                      </w:p>
                    </w:tc>
                  </w:tr>
                  <w:tr w:rsidR="00063DF4" w:rsidRPr="00F01133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063DF4" w:rsidRDefault="00063D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21 (ד) לחוק העיקרי, אחרי "במידה שאין הוראות ההסכם שנרשם"' המופיעות</w:t>
                        </w:r>
                      </w:p>
                      <w:p w:rsidR="00063DF4" w:rsidRPr="00F01133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בסופו, יווספו המלים ,,או תקנות האגודה השיתופית".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063DF4" w:rsidRPr="00F01133" w:rsidRDefault="00063D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063DF4" w:rsidRPr="00F01133">
                    <w:trPr>
                      <w:jc w:val="right"/>
                    </w:trPr>
                    <w:tc>
                      <w:tcPr>
                        <w:tcW w:w="4224" w:type="pct"/>
                      </w:tcPr>
                      <w:p w:rsidR="00063DF4" w:rsidRDefault="00063D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40(א) לחוק העיקרי -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ברישא, במקום "תוך שנה מיום תחילת תקפו של חוק זה" יבוא "לפני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י"ז בטבת תשט"ז (1 בינואר 1956)" $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(3) תבוא פסקה זו: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היה הבית ערב הרישום מוחכר לגוף מואגד, לתקופה ארוכה, וכל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דירות הבית היו מוחכרות לחברי אותו גוף מואגד בחכירת משנה לתקופה</w:t>
                        </w:r>
                      </w:p>
                      <w:p w:rsidR="00063DF4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ארוכה או שהיו מוחזקות בידיהם - יהיה רישום חכירת דירה לתקופה</w:t>
                        </w:r>
                      </w:p>
                      <w:p w:rsidR="00063DF4" w:rsidRPr="00F01133" w:rsidRDefault="00063D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ארוכה לטובת החבר, שהיה חוכר או מחזיק בה' פטור מכל אגרה, ובלבד</w:t>
                        </w:r>
                      </w:p>
                    </w:tc>
                    <w:tc>
                      <w:tcPr>
                        <w:tcW w:w="776" w:type="pct"/>
                      </w:tcPr>
                      <w:p w:rsidR="00063DF4" w:rsidRDefault="00063D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63DF4" w:rsidRPr="00F01133" w:rsidRDefault="00063DF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 ף 40 (א)</w:t>
                        </w:r>
                      </w:p>
                    </w:tc>
                  </w:tr>
                </w:tbl>
                <w:p w:rsidR="00063DF4" w:rsidRDefault="00063D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014" o:spid="_x0000_s1028" type="#_x0000_t202" style="position:absolute;left:0;text-align:left;margin-left:152.9pt;margin-top:95.05pt;width:277.2pt;height:18pt;z-index:2;mso-position-horizontal-relative:page;mso-position-vertical-relative:page" stroked="f">
            <v:textbox style="mso-next-textbox:#_x0000_s6014" inset="0,0,0,0">
              <w:txbxContent>
                <w:p w:rsidR="00063DF4" w:rsidRPr="00F01133" w:rsidRDefault="00063DF4">
                  <w:pPr>
                    <w:pStyle w:val="OCRStyle1"/>
                    <w:ind w:left="22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בתים משותפים (תיקון), תשי"ד-1954*</w:t>
                  </w:r>
                </w:p>
              </w:txbxContent>
            </v:textbox>
            <w10:wrap anchorx="page" anchory="page"/>
          </v:shape>
        </w:pict>
      </w:r>
      <w:r>
        <w:pict>
          <v:shape id="_x0000_s6015" o:spid="_x0000_s1029" type="#_x0000_t202" style="position:absolute;left:0;text-align:left;margin-left:511.3pt;margin-top:77.25pt;width:59.4pt;height:19.8pt;z-index:1;mso-position-horizontal-relative:page;mso-position-vertical-relative:page" stroked="f">
            <v:textbox style="mso-next-textbox:#_x0000_s6015" inset="0,0,0,0">
              <w:txbxContent>
                <w:p w:rsidR="00063DF4" w:rsidRDefault="00063DF4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מספר 48</w:t>
                  </w:r>
                </w:p>
              </w:txbxContent>
            </v:textbox>
            <w10:wrap anchorx="page" anchory="page"/>
          </v:shape>
        </w:pict>
      </w:r>
    </w:p>
    <w:p w:rsidR="00805C89" w:rsidRDefault="00805C89">
      <w:pPr>
        <w:rPr>
          <w:rtl/>
        </w:rPr>
      </w:pPr>
      <w:r>
        <w:rPr>
          <w:rtl/>
        </w:rPr>
        <w:br w:type="page"/>
      </w:r>
    </w:p>
    <w:p w:rsidR="00805C89" w:rsidRDefault="00000000">
      <w:pPr>
        <w:rPr>
          <w:rtl/>
        </w:rPr>
      </w:pPr>
      <w:r>
        <w:pict>
          <v:shape id="_x0000_s6016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6016" inset="0,0,0,0">
              <w:txbxContent>
                <w:p w:rsidR="00063DF4" w:rsidRDefault="00063DF4">
                  <w:r>
                    <w:rPr>
                      <w:rtl/>
                    </w:rPr>
                    <w:t>129                                          ספר החוקים 156                  ל' בסיוון התשי"ד 01.07.1954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6017" o:spid="_x0000_s1031" type="#_x0000_t202" style="position:absolute;left:0;text-align:left;margin-left:371.15pt;margin-top:788.75pt;width:189.7pt;height:22.2pt;z-index:7;mso-position-horizontal-relative:page;mso-position-vertical-relative:page" stroked="f">
            <v:textbox style="mso-next-textbox:#_x0000_s6017" inset="0,0,0,0">
              <w:txbxContent>
                <w:p w:rsidR="00063DF4" w:rsidRDefault="00063DF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018" o:spid="_x0000_s1032" type="#_x0000_t202" style="position:absolute;left:0;text-align:left;margin-left:91.2pt;margin-top:62.1pt;width:477.95pt;height:721.1pt;z-index:6;mso-position-horizontal-relative:page;mso-position-vertical-relative:page" stroked="f">
            <v:textbox style="mso-next-textbox:#_x0000_s601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2"/>
                    <w:gridCol w:w="5934"/>
                    <w:gridCol w:w="1634"/>
                  </w:tblGrid>
                  <w:tr w:rsidR="00063DF4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שאגב אותו רישום יבוטלו החכירה וחכירת המשנה, והחכירה החדשה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שווה ביסודה לזכויות שהיו לגבי אותה דירה לפי החכירה המת-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בטלת ;"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פסקה (4) יבואו פסקאות אלה: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היה הבית ערב הרישום בבעלותו של מי שאינו גוף מואגד, ודירה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מדירותיו מוחזקת בידי אדם אחר שחכר אותה לתקופה ארוכה, תהיה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דירה מהבעל לחוכר המחזיק בה פטורה מכל אגרה;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הוראת פסקה (4) תחול גם על העברת דירה בבית כאמור למחזיק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זה שלוש שנים רצופות, אף אם לא חכר אותה לתקופה ארוכה, והוכיח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המנהל שהוא שילם למעשה את המסים, תשלומי החובה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 וההוצאות החלים, על פי דין או על פי הנוהג, על הבעל ולא על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המחזיק;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נרשמה בפנקס העברת דירה שפסקאות (2) - (5) חלות עליה, וערב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הגיע מהמעביד, למדינה או לרשות מקומית, ביחס לדירה או לבית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כולו, כל מס, ארנונה, היטל או תשלום חובר, אחר (ולכל אחד מאלה ייקרא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זו - חוב), יהיה מקבל ההעברה חייב -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החוב הגיע ביחס לדירה - בכל החוב ;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החוב הגיע ביחס לבית כולו - בשיעור השווה לחלק ברכוש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המשותף הצמוד לדירה."</w:t>
                        </w:r>
                      </w:p>
                    </w:tc>
                  </w:tr>
                  <w:tr w:rsidR="00063DF4" w:rsidRPr="00805C89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063DF4" w:rsidRDefault="00063D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063DF4" w:rsidRPr="00805C89" w:rsidRDefault="00063D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סעיף40(ב)</w:t>
                        </w:r>
                      </w:p>
                    </w:tc>
                    <w:tc>
                      <w:tcPr>
                        <w:tcW w:w="4354" w:type="pct"/>
                        <w:gridSpan w:val="2"/>
                      </w:tcPr>
                      <w:p w:rsidR="00063DF4" w:rsidRPr="00805C89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40(ב) לחוק העיקרי, בפסקה (2), יימחקו המלים "או של שותף".</w:t>
                        </w:r>
                      </w:p>
                    </w:tc>
                  </w:tr>
                  <w:tr w:rsidR="00063DF4" w:rsidRPr="00805C89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063DF4" w:rsidRDefault="00063D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063DF4" w:rsidRPr="00805C89" w:rsidRDefault="00063D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סעיף40א</w:t>
                        </w:r>
                      </w:p>
                    </w:tc>
                    <w:tc>
                      <w:tcPr>
                        <w:tcW w:w="4354" w:type="pct"/>
                        <w:gridSpan w:val="2"/>
                      </w:tcPr>
                      <w:p w:rsidR="00063DF4" w:rsidRPr="00805C89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אחרי סעיף 40 יווסף סעיף זה:</w:t>
                        </w:r>
                      </w:p>
                    </w:tc>
                  </w:tr>
                  <w:tr w:rsidR="00063DF4" w:rsidRPr="00805C89">
                    <w:trPr>
                      <w:jc w:val="right"/>
                    </w:trPr>
                    <w:tc>
                      <w:tcPr>
                        <w:tcW w:w="4060" w:type="pct"/>
                        <w:gridSpan w:val="2"/>
                      </w:tcPr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40א. (א) נרשם בית בפנקס וערב הרישום היה הבית בבעלות משו-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תפת של מספר בני אדם (ולכל אחד מהם ייקרא בסעיף זה - שותף),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העברת חלקים בדירה משותף לשותף פטורה מכל אגרה ובלבד שנת-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 בדירה אחד התנאים האלה: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שטח הרצפה של הדירה לעומת שטח הרצפה של כל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 שווה ביסודו ליחס שבין החלק שהיה למקבל ההעברה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הרישום לבין הבית כולו;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מספר החדרים בדירה לעומת מספר החדרים של כל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הדירות שווה ביסודו ליחס שבין החלק שהיה למקבל ההעברה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הרישום לבין הבית כולו ;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שווי הדירה לעומת שווי הבית כולו שווה ביסודו ליחס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החלק שהיה למקבל ההעברה ערב הרישום לבין הבית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כולו;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המנהל נוכח שמקבל ההעברה שילם, בעת שחלקו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בבעלות המשותפת של הבית' נרשם בספרי האחוזה, אגרה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לפחות לאגרה שהיתה מגיעה אילו היה נרשם בשמו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המייצג לעומת הבית כולו, את היחס שבין שווי הדירה</w:t>
                        </w:r>
                      </w:p>
                      <w:p w:rsidR="00063DF4" w:rsidRPr="00805C89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לבין שווי הבי ת כולה. </w:t>
                        </w:r>
                      </w:p>
                    </w:tc>
                    <w:tc>
                      <w:tcPr>
                        <w:tcW w:w="940" w:type="pct"/>
                      </w:tcPr>
                      <w:p w:rsidR="00063DF4" w:rsidRDefault="00063DF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"הקלות לבתים</w:t>
                        </w:r>
                      </w:p>
                      <w:p w:rsidR="00063DF4" w:rsidRDefault="00063D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בבעלות</w:t>
                        </w:r>
                      </w:p>
                      <w:p w:rsidR="00063DF4" w:rsidRPr="00805C89" w:rsidRDefault="00063DF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משותפת</w:t>
                        </w:r>
                      </w:p>
                    </w:tc>
                  </w:tr>
                </w:tbl>
                <w:p w:rsidR="00063DF4" w:rsidRDefault="00063DF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57869" w:rsidRDefault="00157869">
      <w:pPr>
        <w:rPr>
          <w:rtl/>
        </w:rPr>
      </w:pPr>
      <w:r>
        <w:rPr>
          <w:rtl/>
        </w:rPr>
        <w:br w:type="page"/>
      </w:r>
    </w:p>
    <w:p w:rsidR="00157869" w:rsidRDefault="00000000">
      <w:pPr>
        <w:rPr>
          <w:rtl/>
        </w:rPr>
      </w:pPr>
      <w:r>
        <w:pict>
          <v:shape id="_x0000_s6019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6019" inset="0,0,0,0">
              <w:txbxContent>
                <w:p w:rsidR="00063DF4" w:rsidRDefault="00063DF4">
                  <w:r>
                    <w:rPr>
                      <w:rtl/>
                    </w:rPr>
                    <w:t>130                                          ספר החוקים 156                  ל' בסיוון התשי"ד 01.07.1954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6020" o:spid="_x0000_s1034" type="#_x0000_t202" style="position:absolute;left:0;text-align:left;margin-left:74.2pt;margin-top:792.5pt;width:185.9pt;height:24.75pt;z-index:10;mso-position-horizontal-relative:page;mso-position-vertical-relative:page" stroked="f">
            <v:textbox style="mso-next-textbox:#_x0000_s6020" inset="0,0,0,0">
              <w:txbxContent>
                <w:p w:rsidR="00063DF4" w:rsidRDefault="00063DF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6021" o:spid="_x0000_s1035" type="#_x0000_t202" style="position:absolute;left:0;text-align:left;margin-left:81.55pt;margin-top:68.6pt;width:498.15pt;height:719.35pt;z-index:9;mso-position-horizontal-relative:page;mso-position-vertical-relative:page" stroked="f">
            <v:textbox style="mso-next-textbox:#_x0000_s602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4"/>
                    <w:gridCol w:w="1451"/>
                    <w:gridCol w:w="1513"/>
                  </w:tblGrid>
                  <w:tr w:rsidR="00063DF4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על אף האמור בסעיף קטן (א) לא תהיה העברת דירה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מאגרה, אלא אם הוגשה הבקשה לרישום ההעברה תוך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מיום רישום הבית בפנקס והמבוקש לא התרשל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בהשלמת ההעברה ;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הפטור הקבוע בסעיף קטן (א) יחול גם על העברת מחצית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דירה לבן-זוג או לבת-זוג של שותף, ובלבד שההעברה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נעשתה אגב ביצוע העברה כאמור בסעיף קטן (א)."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63DF4" w:rsidRPr="00157869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41 לחוק העיקרי, בסופו, במקום הנקודה יבואו נקודה ופסיק, ואחריהם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מלים אלה: "והוא הדין אם הועברה דירה לאדם היושב בה ישיבת קבע והוכיח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המנהל, כי הזכות לקבלת הבעלות בדירה לא הועברה לאדם אחר לפניו,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ישב בה אדם לפניו, וההעברה בוצעה תוך שנה מהיום שהוא התיישב בדירה כאמור,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מיום כ"ח באייר תשי"ד (1 ביוני 1954), הכל לפי התאריך המאוחר יותר'/</w:t>
                        </w:r>
                      </w:p>
                    </w:tc>
                    <w:tc>
                      <w:tcPr>
                        <w:tcW w:w="835" w:type="pct"/>
                      </w:tcPr>
                      <w:p w:rsidR="00063DF4" w:rsidRPr="00157869" w:rsidRDefault="00063DF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41</w:t>
                        </w:r>
                      </w:p>
                    </w:tc>
                  </w:tr>
                  <w:tr w:rsidR="00063DF4" w:rsidRPr="00157869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063DF4" w:rsidRPr="00157869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אחרי סעיף 42 יווסף סעיף זה:</w:t>
                        </w:r>
                      </w:p>
                    </w:tc>
                    <w:tc>
                      <w:tcPr>
                        <w:tcW w:w="835" w:type="pct"/>
                      </w:tcPr>
                      <w:p w:rsidR="00063DF4" w:rsidRDefault="00063DF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063DF4" w:rsidRPr="00157869" w:rsidRDefault="00063DF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42א</w:t>
                        </w:r>
                      </w:p>
                    </w:tc>
                  </w:tr>
                  <w:tr w:rsidR="00063DF4">
                    <w:trPr>
                      <w:jc w:val="right"/>
                    </w:trPr>
                    <w:tc>
                      <w:tcPr>
                        <w:tcW w:w="3364" w:type="pct"/>
                      </w:tcPr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42א. כל מקום שהוראת חוק זה פוטרת, או נותנת הנחה, מתשלום אגרה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פעולה מסויימת בתנאי שתבוצע תוך תקופה שנקבעה בהוראה,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והפעולה לא בוצעה תוך אותה תקופה אלא לאחריה, רשאי שר המשפטים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או ליתן הנחה מתשלום האגרה לאותה פעולה, אם הוכח להנחת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שהאיחור חל מסיבות שלא היו תלויות במבצעים."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לשר</w:t>
                        </w:r>
                      </w:p>
                      <w:p w:rsidR="00063DF4" w:rsidRPr="00157869" w:rsidRDefault="00063DF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המשפטים</w:t>
                        </w:r>
                      </w:p>
                    </w:tc>
                    <w:tc>
                      <w:tcPr>
                        <w:tcW w:w="835" w:type="pct"/>
                      </w:tcPr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63DF4" w:rsidRPr="00157869">
                    <w:trPr>
                      <w:jc w:val="right"/>
                    </w:trPr>
                    <w:tc>
                      <w:tcPr>
                        <w:tcW w:w="4165" w:type="pct"/>
                        <w:gridSpan w:val="2"/>
                      </w:tcPr>
                      <w:p w:rsidR="00063DF4" w:rsidRPr="00157869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בפרק התשיעי, בתחילתו, יבוא סעיף זה :</w:t>
                        </w:r>
                      </w:p>
                    </w:tc>
                    <w:tc>
                      <w:tcPr>
                        <w:tcW w:w="835" w:type="pct"/>
                      </w:tcPr>
                      <w:p w:rsidR="00063DF4" w:rsidRDefault="00063DF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063DF4" w:rsidRPr="00157869" w:rsidRDefault="00063DF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 יף 46א</w:t>
                        </w:r>
                      </w:p>
                    </w:tc>
                  </w:tr>
                  <w:tr w:rsidR="00063DF4">
                    <w:trPr>
                      <w:jc w:val="right"/>
                    </w:trPr>
                    <w:tc>
                      <w:tcPr>
                        <w:tcW w:w="3364" w:type="pct"/>
                      </w:tcPr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46א. (א) נוכה הפקיד המוסמך הנותן צו רישום על בית של גוף מואגד,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שהעברת דירה בבית מן הגוף לאחד מחבריו תהיה פטורה מאגרה לפי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40 (א) (2), רשאי הוא, בצו הרישום, לצוות גם על העברת הדירה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נוכח הפקיד המוסמך הנותן צו רישום על בית מוחכר לגוף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מואגד בחכירה לתקופה ארוכה, שרישום חכירה לתקופה ארוכה בדירה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מדירותיו לטובת חבר הגוף יהיה פטור מאגרה לפי סעיף 40 (א) (3), רשאי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בצו הרישום, לצוות גם על רישום חכירה כאמור.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נוכה הפקיד המוסמך הנותן צו רישום על בית שאינו של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מואגד, שהעברת דירה מן הבעל הרשום לאדם אחר המחזיק בה תהיה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מאגרה לפי סעיף 40 (א) (4) או 40 (א) (5), רשאי הוא בצו הרישום,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גם על העברת הדירה כאמור.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נוכח הפקיד המוסמך הנותן צו רישום על בית הנמצא בבעלות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משותפת של מספר בני אדם, שהעברת חלקים בדירה משותף לשותף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מאגרה לפי סעיף 40א, רשאי הוא, בצו הרישום, לצוות על העברת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חלקים כאמור.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ישתמש הפקיד המוסמך בסמכויותיו לפי סעיף זה, אלא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נתבקש לעשות, זאת, בין בגוף הבקשה לרישום הבית בפנקס ובין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מיוחדת החתומה כדרך שחותמים על בקשה לרישום, והיה משוכנע</w:t>
                        </w:r>
                      </w:p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שהדבר לא יגרע מכל זכות שהיתה לאדם מעונין לולא נעשה הרישום.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דירה</w:t>
                        </w:r>
                      </w:p>
                      <w:p w:rsidR="00063DF4" w:rsidRPr="00157869" w:rsidRDefault="00063DF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בצו רישום</w:t>
                        </w:r>
                      </w:p>
                    </w:tc>
                    <w:tc>
                      <w:tcPr>
                        <w:tcW w:w="835" w:type="pct"/>
                      </w:tcPr>
                      <w:p w:rsidR="00063DF4" w:rsidRDefault="00063DF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63DF4" w:rsidRDefault="00063DF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31842" w:rsidRDefault="00A31842">
      <w:pPr>
        <w:rPr>
          <w:rtl/>
        </w:rPr>
      </w:pPr>
      <w:r>
        <w:rPr>
          <w:rtl/>
        </w:rPr>
        <w:br w:type="page"/>
      </w:r>
    </w:p>
    <w:p w:rsidR="00A31842" w:rsidRDefault="00000000">
      <w:pPr>
        <w:rPr>
          <w:rtl/>
        </w:rPr>
      </w:pPr>
      <w:r>
        <w:pict>
          <v:shape id="_x0000_s6022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6022" inset="0,0,0,0">
              <w:txbxContent>
                <w:p w:rsidR="00063DF4" w:rsidRDefault="00063DF4">
                  <w:r>
                    <w:rPr>
                      <w:rtl/>
                    </w:rPr>
                    <w:t>131                                          ספר החוקים 156                  ל' בסיוון התשי"ד 01.07.1954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6023" o:spid="_x0000_s1037" type="#_x0000_t202" style="position:absolute;left:0;text-align:left;margin-left:383.45pt;margin-top:789.05pt;width:190.5pt;height:16.05pt;z-index:16;mso-position-horizontal-relative:page;mso-position-vertical-relative:page" stroked="f">
            <v:textbox style="mso-next-textbox:#_x0000_s6023" inset="0,0,0,0">
              <w:txbxContent>
                <w:p w:rsidR="00063DF4" w:rsidRDefault="00063DF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6024" o:spid="_x0000_s1038" type="#_x0000_t202" style="position:absolute;left:0;text-align:left;margin-left:439.1pt;margin-top:278pt;width:108.5pt;height:38.6pt;z-index:15;mso-position-horizontal-relative:page;mso-position-vertical-relative:page" stroked="f">
            <v:textbox style="mso-next-textbox:#_x0000_s6024" inset="0,0,0,0">
              <w:txbxContent>
                <w:p w:rsidR="00063DF4" w:rsidRDefault="00063DF4">
                  <w:pPr>
                    <w:pStyle w:val="OCRStyle4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ב ן- צ בי</w:t>
                  </w:r>
                </w:p>
                <w:p w:rsidR="00063DF4" w:rsidRDefault="00063DF4">
                  <w:pPr>
                    <w:pStyle w:val="OCRStyle4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025" o:spid="_x0000_s1039" type="#_x0000_t202" style="position:absolute;left:0;text-align:left;margin-left:167.6pt;margin-top:239.4pt;width:97pt;height:30.1pt;z-index:14;mso-position-horizontal-relative:page;mso-position-vertical-relative:page" stroked="f">
            <v:textbox style="mso-next-textbox:#_x0000_s6025" inset="0,0,0,0">
              <w:txbxContent>
                <w:p w:rsidR="00063DF4" w:rsidRDefault="00063DF4">
                  <w:pPr>
                    <w:pStyle w:val="OCRStyle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063DF4" w:rsidRDefault="00063DF4">
                  <w:pPr>
                    <w:pStyle w:val="OCRStyle4"/>
                    <w:ind w:left="31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026" o:spid="_x0000_s1040" type="#_x0000_t202" style="position:absolute;left:0;text-align:left;margin-left:323.05pt;margin-top:237.4pt;width:97.2pt;height:33.05pt;z-index:13;mso-position-horizontal-relative:page;mso-position-vertical-relative:page" stroked="f">
            <v:textbox style="mso-next-textbox:#_x0000_s6026" inset="0,0,0,0">
              <w:txbxContent>
                <w:p w:rsidR="00063DF4" w:rsidRDefault="00063DF4">
                  <w:pPr>
                    <w:pStyle w:val="OCRStyle4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063DF4" w:rsidRDefault="00063DF4">
                  <w:pPr>
                    <w:pStyle w:val="OCRStyle4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027" o:spid="_x0000_s1041" type="#_x0000_t202" style="position:absolute;left:0;text-align:left;margin-left:79.9pt;margin-top:49.9pt;width:476.2pt;height:168.7pt;z-index:12;mso-position-horizontal-relative:page;mso-position-vertical-relative:page" stroked="f">
            <v:textbox style="mso-next-textbox:#_x0000_s602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7410"/>
                  </w:tblGrid>
                  <w:tr w:rsidR="00063DF4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063DF4" w:rsidRDefault="00063DF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9" w:type="pct"/>
                      </w:tcPr>
                      <w:p w:rsidR="00063DF4" w:rsidRDefault="00063D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הבקשה לפקיד המוסמך שישתמש בסמכויותיו לפי סעיף זה,</w:t>
                        </w:r>
                      </w:p>
                      <w:p w:rsidR="00063DF4" w:rsidRDefault="00063D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דינה בכל הנוגע לזכות ההצטרפות, זכות ההתנגדות' סמכויות הפקיד</w:t>
                        </w:r>
                      </w:p>
                      <w:p w:rsidR="00063DF4" w:rsidRDefault="00063D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והערעור לבית המשפט כדין בקשה לרישום בית בפנקס."</w:t>
                        </w:r>
                      </w:p>
                    </w:tc>
                  </w:tr>
                  <w:tr w:rsidR="00063DF4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063DF4" w:rsidRDefault="00063D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063DF4" w:rsidRDefault="00063D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כל מקום שנתן הפקיד המוסמך, לפני שחוק זה פורסם ברשומות, צו רישום על בית,</w:t>
                        </w:r>
                      </w:p>
                      <w:p w:rsidR="00063DF4" w:rsidRDefault="00063D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הוא' על פי בקשה לפי סעיף 46א לחוק העיקרי' לצוות בתוספת לצו הרישום על</w:t>
                        </w:r>
                      </w:p>
                      <w:p w:rsidR="00063DF4" w:rsidRDefault="00063D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דירות באותו בית בהתאם להוראות הסעיף האמור.</w:t>
                        </w:r>
                      </w:p>
                    </w:tc>
                  </w:tr>
                  <w:tr w:rsidR="00063DF4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063DF4" w:rsidRDefault="00063D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החוק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063DF4" w:rsidRDefault="00063DF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תחילתו של חוק זה הוא מיום י"ד באדר ב' תשי"ד (19 במרס 1954).</w:t>
                        </w:r>
                      </w:p>
                    </w:tc>
                  </w:tr>
                </w:tbl>
                <w:p w:rsidR="00063DF4" w:rsidRDefault="00063DF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63DF4" w:rsidRDefault="00063DF4">
      <w:pPr>
        <w:rPr>
          <w:rtl/>
        </w:rPr>
      </w:pPr>
      <w:r>
        <w:rPr>
          <w:rtl/>
        </w:rPr>
        <w:br w:type="page"/>
      </w:r>
    </w:p>
    <w:p w:rsidR="00063DF4" w:rsidRDefault="00000000">
      <w:pPr>
        <w:rPr>
          <w:rtl/>
        </w:rPr>
      </w:pPr>
      <w:r>
        <w:pict>
          <v:shape id="_x0000_s6028" o:spid="_x0000_s1042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6028" inset="0,0,0,0">
              <w:txbxContent>
                <w:p w:rsidR="00063DF4" w:rsidRDefault="00063DF4">
                  <w:r>
                    <w:rPr>
                      <w:rtl/>
                    </w:rPr>
                    <w:t>132                                          ספר החוקים 156                  ל' בסיוון התשי"ד 01.07.1954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6029" o:spid="_x0000_s1043" type="#_x0000_t202" style="position:absolute;left:0;text-align:left;margin-left:85.25pt;margin-top:785.15pt;width:126.5pt;height:20.8pt;z-index:18;mso-position-horizontal-relative:page;mso-position-vertical-relative:page" stroked="f">
            <v:textbox style="mso-next-textbox:#_x0000_s6029" inset="0,0,0,0">
              <w:txbxContent>
                <w:p w:rsidR="00063DF4" w:rsidRDefault="00063DF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0113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626AE47-70FD-44EB-AEC1-E35D87843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0113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05C8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5786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A31842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063DF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2008-04-06T18:45:00Z</dcterms:created>
  <dcterms:modified xsi:type="dcterms:W3CDTF">2008-04-06T18:45:00Z</dcterms:modified>
</cp:coreProperties>
</file>