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029E" w:rsidRDefault="00D1029E">
      <w:pPr>
        <w:rPr>
          <w:rtl/>
        </w:rPr>
      </w:pPr>
    </w:p>
    <w:p w:rsidR="00D102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0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068" inset="0,0,0,0">
              <w:txbxContent>
                <w:p w:rsidR="006F6DFC" w:rsidRDefault="006F6DFC">
                  <w:r>
                    <w:rPr>
                      <w:rtl/>
                    </w:rPr>
                    <w:t>188                                          ספר החוקים 565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6069" o:spid="_x0000_s1026" type="#_x0000_t202" style="position:absolute;left:0;text-align:left;margin-left:86.15pt;margin-top:647.6pt;width:382.35pt;height:100.8pt;z-index:3;mso-position-horizontal-relative:page;mso-position-vertical-relative:page" stroked="f">
            <v:textbox style="mso-next-textbox:#_x0000_s6069" inset="0,0,0,0">
              <w:txbxContent>
                <w:p w:rsidR="006F6DFC" w:rsidRDefault="006F6DF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תשכ"ט (7 ביולי 1969); הצעת החוק ודברי הסבר פורסמו בה"ח 826, תשכ"ט,</w:t>
                  </w:r>
                </w:p>
                <w:p w:rsidR="006F6DFC" w:rsidRDefault="006F6DF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עמ' 161.</w:t>
                  </w:r>
                </w:p>
                <w:p w:rsidR="006F6DFC" w:rsidRDefault="006F6DF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ס"ח תש''י, עמ' 258.</w:t>
                  </w:r>
                </w:p>
                <w:p w:rsidR="006F6DFC" w:rsidRPr="00D1029E" w:rsidRDefault="006F6DFC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2 ס"ח 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6070" o:spid="_x0000_s1027" type="#_x0000_t202" style="position:absolute;left:0;text-align:left;margin-left:83.6pt;margin-top:105.3pt;width:470.85pt;height:537.15pt;z-index:2;mso-position-horizontal-relative:page;mso-position-vertical-relative:page" stroked="f">
            <v:textbox style="mso-next-textbox:#_x0000_s60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9"/>
                    <w:gridCol w:w="1195"/>
                    <w:gridCol w:w="1408"/>
                  </w:tblGrid>
                  <w:tr w:rsidR="006F6DFC" w:rsidRPr="00D1029E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6F6DFC" w:rsidRPr="00D1029E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3 לחוק בתי קברות צבאיים, תש"י-1950  1(להלן - החרק העיקרי),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6F6DFC" w:rsidRPr="00D1029E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6F6DFC" w:rsidRPr="00D1029E">
                    <w:trPr>
                      <w:jc w:val="right"/>
                    </w:trPr>
                    <w:tc>
                      <w:tcPr>
                        <w:tcW w:w="3480" w:type="pct"/>
                      </w:tcPr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מי ששר הבטחון מינה לכך רשאי להכריז כי שטח קרקע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המתואר באכרזה יהיה בית קברות צבאי ארעי, והוא על אף האמור בחוק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והבניה, תשכ"ה-1965 2, או בתכניות או תקנות אחרות שעל פיו.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האכרזה לפי סעיף זה אינה טעונה פרסום ברשומות, והיא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תינתן, ככל האפשר, אחרי התייעצות עם המנהל הכללי של משרד הברי-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ועם הממונה על המחוז או עם מי שכל אחד מאלה הסמיך לכך.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ניתנה אכרזה לפי סעיף זה, מותר להשתמש בשטח הקרקע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שהוכרז עליו לצרכי קבורת חיילים שנפטרו בשעת לחימה.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המוסמך להכריז על בית קברות צבאי ארעי לפי סעיף זה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לבטל את האכרזה בכל עת, לאחר שהועברו ממנו כל הגופות לבתי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קברות אחרים, והוא חייב לעשות כן לא יאוחר מתום שלוש שנים מיום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תחילתה של האכרזה או מהיום שבו הובא לאחרונה חייל לקבורה באותו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קברות מכוח סעיף זה, הכל לפי המאוחר יותר."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"בתי קברות</w:t>
                        </w:r>
                      </w:p>
                      <w:p w:rsidR="006F6DFC" w:rsidRPr="00D1029E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צבאיים ארעיים</w:t>
                        </w:r>
                      </w:p>
                    </w:tc>
                    <w:tc>
                      <w:tcPr>
                        <w:tcW w:w="822" w:type="pct"/>
                      </w:tcPr>
                      <w:p w:rsidR="006F6DFC" w:rsidRPr="00D1029E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6F6DFC" w:rsidRPr="00D1029E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6F6DFC" w:rsidRPr="00D1029E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.אחרי סעיף 4 לחוק העיקרי יבוא:</w:t>
                        </w:r>
                      </w:p>
                    </w:tc>
                    <w:tc>
                      <w:tcPr>
                        <w:tcW w:w="822" w:type="pct"/>
                        <w:vMerge w:val="restart"/>
                      </w:tcPr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6F6DFC" w:rsidRPr="00D1029E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4א-4ה</w:t>
                        </w:r>
                      </w:p>
                    </w:tc>
                  </w:tr>
                  <w:tr w:rsidR="006F6DFC">
                    <w:trPr>
                      <w:jc w:val="right"/>
                    </w:trPr>
                    <w:tc>
                      <w:tcPr>
                        <w:tcW w:w="3480" w:type="pct"/>
                      </w:tcPr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נפטר חייל בתקופת לחימה, מותר להביאו לקבורה בלי שניתן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לקרובו לבחור במקום קבורתו כאמור בסעיף .4</w:t>
                        </w:r>
                      </w:p>
                    </w:tc>
                    <w:tc>
                      <w:tcPr>
                        <w:tcW w:w="698" w:type="pct"/>
                      </w:tcPr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קבורה</w:t>
                        </w:r>
                      </w:p>
                      <w:p w:rsidR="006F6DFC" w:rsidRPr="00D1029E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לחימה</w:t>
                        </w:r>
                      </w:p>
                    </w:tc>
                    <w:tc>
                      <w:tcPr>
                        <w:tcW w:w="822" w:type="pct"/>
                        <w:vMerge/>
                      </w:tcPr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F6DFC">
                    <w:trPr>
                      <w:jc w:val="right"/>
                    </w:trPr>
                    <w:tc>
                      <w:tcPr>
                        <w:tcW w:w="3480" w:type="pct"/>
                      </w:tcPr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4ב, חייל שנפטר בתקופת לחימה והובא לקבורה בבית קברות צבאי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ארעי, יחולו על העברת גופתו ממקום הקבורה הוראות אלה: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ששר הבטחון מינה לכך (להלן - הממונה) רשאי,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המנהל הכללי של משרד הבריאות או עם מי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שהסמיך לכך, לצוות כי הגופה תועבר לבית קברות צבאי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אזרחי, הכל כפי שבחר קרובו של הנפטר;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הממונה יודיע בכתב לקרובו של החייל על כוונתו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כאמור בפסקה (1) ;לא הודיע הקרוב לממונה על בית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הקברות הצבאי או האזרחי שבו בחר לקבורת החייל, תוך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יום מהיום שבו נמסרה לו ההודעה כאמור, תועבר גופתו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החייל לקבורה בבית קברות צבאי שהממונה יקבע, והוא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כשאין לחייל קרוב או כשקרוביו או מעניהם אינם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ידועים;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יצווה הממונה על העברת הגופה כאמור בפסקה (1)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 אחד עשר חודש מהיום שבו הובא החייל לקבורה,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חייב לצוות על ההעברה לא יאוחר מתום שלוש שנים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יום,</w:t>
                        </w:r>
                      </w:p>
                    </w:tc>
                    <w:tc>
                      <w:tcPr>
                        <w:tcW w:w="698" w:type="pct"/>
                      </w:tcPr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גופה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חייל</w:t>
                        </w:r>
                      </w:p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 קברות</w:t>
                        </w:r>
                      </w:p>
                      <w:p w:rsidR="006F6DFC" w:rsidRPr="00D1029E" w:rsidRDefault="006F6DF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ארעי</w:t>
                        </w:r>
                      </w:p>
                    </w:tc>
                    <w:tc>
                      <w:tcPr>
                        <w:tcW w:w="822" w:type="pct"/>
                      </w:tcPr>
                      <w:p w:rsidR="006F6DFC" w:rsidRDefault="006F6DF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F6DFC" w:rsidRDefault="006F6DF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071" o:spid="_x0000_s1028" type="#_x0000_t202" style="position:absolute;left:0;text-align:left;margin-left:148.1pt;margin-top:72.6pt;width:280.75pt;height:29.3pt;z-index:1;mso-position-horizontal-relative:page;mso-position-vertical-relative:page" stroked="f">
            <v:textbox style="mso-next-textbox:#_x0000_s6071" inset="0,0,0,0">
              <w:txbxContent>
                <w:p w:rsidR="006F6DFC" w:rsidRPr="00D1029E" w:rsidRDefault="006F6DFC">
                  <w:pPr>
                    <w:pStyle w:val="OCRStyle1"/>
                    <w:ind w:left="3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קברות צבאיים (תיקון), תשכ"ט-1969 *</w:t>
                  </w:r>
                </w:p>
              </w:txbxContent>
            </v:textbox>
            <w10:wrap anchorx="page" anchory="page"/>
          </v:shape>
        </w:pict>
      </w:r>
    </w:p>
    <w:p w:rsidR="006F6DFC" w:rsidRDefault="006F6DFC">
      <w:pPr>
        <w:rPr>
          <w:rtl/>
        </w:rPr>
      </w:pPr>
      <w:r>
        <w:rPr>
          <w:rtl/>
        </w:rPr>
        <w:br w:type="page"/>
      </w:r>
    </w:p>
    <w:p w:rsidR="006F6DFC" w:rsidRDefault="00000000">
      <w:pPr>
        <w:rPr>
          <w:rtl/>
        </w:rPr>
      </w:pPr>
      <w:r>
        <w:pict>
          <v:shape id="_x0000_s607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072" inset="0,0,0,0">
              <w:txbxContent>
                <w:p w:rsidR="006F6DFC" w:rsidRDefault="006F6DFC">
                  <w:r>
                    <w:rPr>
                      <w:rtl/>
                    </w:rPr>
                    <w:t>189                                          ספר החוקים 565                     ב' באב התשכ"ט 17.07.1969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6073" o:spid="_x0000_s1030" type="#_x0000_t202" style="position:absolute;left:0;text-align:left;margin-left:362pt;margin-top:670.85pt;width:188.5pt;height:67.1pt;z-index:9;mso-position-horizontal-relative:page;mso-position-vertical-relative:page" stroked="f">
            <v:textbox style="mso-next-textbox:#_x0000_s6073" inset="0,0,0,0">
              <w:txbxContent>
                <w:p w:rsidR="006F6DFC" w:rsidRPr="006F6DFC" w:rsidRDefault="006F6DFC">
                  <w:pPr>
                    <w:pStyle w:val="OCRStyle2"/>
                    <w:ind w:left="515"/>
                  </w:pPr>
                  <w:r>
                    <w:rPr>
                      <w:rtl/>
                    </w:rPr>
                    <w:t>3 ס"ח תשכ"ה, עמ' 270.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6074" o:spid="_x0000_s1031" type="#_x0000_t202" style="position:absolute;left:0;text-align:left;margin-left:174.3pt;margin-top:504.7pt;width:90.5pt;height:38.6pt;z-index:8;mso-position-horizontal-relative:page;mso-position-vertical-relative:page" stroked="f">
            <v:textbox style="mso-next-textbox:#_x0000_s6074" inset="0,0,0,0">
              <w:txbxContent>
                <w:p w:rsidR="006F6DFC" w:rsidRDefault="006F6DFC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6F6DFC" w:rsidRDefault="006F6DFC">
                  <w:pPr>
                    <w:pStyle w:val="OCRStyle2"/>
                    <w:ind w:left="28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6075" o:spid="_x0000_s1032" type="#_x0000_t202" style="position:absolute;left:0;text-align:left;margin-left:292.3pt;margin-top:506.3pt;width:104.15pt;height:45.75pt;z-index:7;mso-position-horizontal-relative:page;mso-position-vertical-relative:page" stroked="f">
            <v:textbox style="mso-next-textbox:#_x0000_s6075" inset="0,0,0,0">
              <w:txbxContent>
                <w:p w:rsidR="006F6DFC" w:rsidRDefault="006F6DFC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F6DFC" w:rsidRDefault="006F6DFC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76" o:spid="_x0000_s1033" type="#_x0000_t202" style="position:absolute;left:0;text-align:left;margin-left:419.65pt;margin-top:541.75pt;width:130.1pt;height:42.95pt;z-index:6;mso-position-horizontal-relative:page;mso-position-vertical-relative:page" stroked="f">
            <v:textbox style="mso-next-textbox:#_x0000_s6076" inset="0,0,0,0">
              <w:txbxContent>
                <w:p w:rsidR="006F6DFC" w:rsidRDefault="006F6DFC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F6DFC" w:rsidRDefault="006F6DFC">
                  <w:pPr>
                    <w:pStyle w:val="OCRStyle2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77" o:spid="_x0000_s1034" type="#_x0000_t202" style="position:absolute;left:0;text-align:left;margin-left:97.7pt;margin-top:60.4pt;width:449.45pt;height:403.7pt;z-index:5;mso-position-horizontal-relative:page;mso-position-vertical-relative:page" stroked="f">
            <v:textbox style="mso-next-textbox:#_x0000_s607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5634"/>
                    <w:gridCol w:w="1380"/>
                  </w:tblGrid>
                  <w:tr w:rsidR="006F6DFC" w:rsidRPr="006F6DFC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7" w:type="pct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חייל שנפטר בתקופת לחימה והובא לקבורה כבית קברות צבאי או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קברות אזרחי שלא בחר בהם קרובו, יחולו על העברת גופתו ממקום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הקבורה הוראות אלה: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הממונה, בהתייעצות עם המנהל הכללי של משרד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 או עם מי שהסמיך לכך, רשאי לצוות כי הגופה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תועבר לבית קברות צבאי או אזרחי, הכל כפי שבחר קרובו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הנפטר?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הממונה יודיע בכתב לקרובו של החייל על זכותו לבחור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קברות אחר שאליו תועבר גופת החייל; לא הודיע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 לממונה על בית הקברות הצבאי או האזרחי שבו בחר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לקבורת החייל תוך ששה חדשים מהיום שבו נמסרה לו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כאמור, לא יצווה הממונה על העברת הגופה לפי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(1);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הממונה לא יצווה על העברת הגופה כאמור בפסקה (1)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 אחד עשר חודש מהיום שבו הובא החייל לקבורה,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ובכפוף לאמור בפסקה (2) חייב הוא לצוות על ההעברה, על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דרישת הקרוב, לא יאוחר מתום שלוש שנים מאותו יום.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גופה של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 שנפטר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לחימה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מבית קברות</w:t>
                        </w:r>
                      </w:p>
                      <w:p w:rsidR="006F6DFC" w:rsidRP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ארעי</w:t>
                        </w:r>
                      </w:p>
                    </w:tc>
                  </w:tr>
                  <w:tr w:rsidR="006F6DFC" w:rsidRPr="006F6DFC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7" w:type="pct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הממונה יודיע לפקיד רישום כאמור בחוק מרשם האוכלוסין,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3, לצרכי רישום לפי אותו חוק, על בית הקברות הצבאי או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בית הקברות האזרחי שאליו הועברה גופתו של חייל שנפטר בתקופת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לחימה.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לפקיד</w:t>
                        </w:r>
                      </w:p>
                      <w:p w:rsidR="006F6DFC" w:rsidRP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</w:tr>
                  <w:tr w:rsidR="006F6DFC" w:rsidRPr="006F6DFC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7" w:type="pct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4ה. לענין סעיפים 8 ו-10, דין בית קברות צבאי ארעי כדין בית קברות</w:t>
                        </w:r>
                      </w:p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בית קברות</w:t>
                        </w:r>
                      </w:p>
                      <w:p w:rsidR="006F6DFC" w:rsidRP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ארעי</w:t>
                        </w:r>
                      </w:p>
                    </w:tc>
                  </w:tr>
                  <w:tr w:rsidR="006F6DFC" w:rsidRPr="006F6DFC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6F6DFC" w:rsidRP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91" w:type="pct"/>
                        <w:gridSpan w:val="2"/>
                      </w:tcPr>
                      <w:p w:rsid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5 לחוק העיקרי, בסופו יבוא:</w:t>
                        </w:r>
                      </w:p>
                      <w:p w:rsidR="006F6DFC" w:rsidRPr="006F6DFC" w:rsidRDefault="006F6DF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סעיף זה אינו חל על העברת גופות לפי סעיפים 4ב ו-4ג."</w:t>
                        </w:r>
                      </w:p>
                    </w:tc>
                  </w:tr>
                </w:tbl>
                <w:p w:rsidR="006F6DFC" w:rsidRDefault="006F6DF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02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75568D-D39D-4335-89C3-C25CFAC0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029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F6DF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2008-04-06T21:13:00Z</dcterms:created>
  <dcterms:modified xsi:type="dcterms:W3CDTF">2008-04-06T21:13:00Z</dcterms:modified>
</cp:coreProperties>
</file>