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72C3" w:rsidRDefault="009F72C3">
      <w:pPr>
        <w:rPr>
          <w:rtl/>
        </w:rPr>
      </w:pPr>
    </w:p>
    <w:p w:rsidR="009F72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0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078" inset="0,0,0,0">
              <w:txbxContent>
                <w:p w:rsidR="009F72C3" w:rsidRDefault="009F72C3">
                  <w:r>
                    <w:rPr>
                      <w:rtl/>
                    </w:rPr>
                    <w:t>98                                           ספר החוקים 738                  כ"ח בתמוז התשל"ד 18.07.1974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6079" o:spid="_x0000_s1026" type="#_x0000_t202" style="position:absolute;left:0;text-align:left;margin-left:83.55pt;margin-top:577.55pt;width:369.25pt;height:173.05pt;z-index:6;mso-position-horizontal-relative:page;mso-position-vertical-relative:page" stroked="f">
            <v:textbox style="mso-next-textbox:#_x0000_s6079" inset="0,0,0,0">
              <w:txbxContent>
                <w:p w:rsidR="009F72C3" w:rsidRDefault="009F72C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בתמוז תשל"ד (16 ביולי 1974); הצעת החוק ודברי הסבר פורסמו בה"ח 1131, תשל"ד,</w:t>
                  </w:r>
                </w:p>
                <w:p w:rsidR="009F72C3" w:rsidRDefault="009F72C3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240.</w:t>
                  </w:r>
                </w:p>
                <w:p w:rsidR="009F72C3" w:rsidRPr="009F72C3" w:rsidRDefault="009F72C3">
                  <w:pPr>
                    <w:pStyle w:val="OCRStyle1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תש"י, עמ' 258; תשכ"ט, עמי 188.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080" o:spid="_x0000_s1027" type="#_x0000_t202" style="position:absolute;left:0;text-align:left;margin-left:105.1pt;margin-top:503.5pt;width:80pt;height:32.85pt;z-index:5;mso-position-horizontal-relative:page;mso-position-vertical-relative:page" stroked="f">
            <v:textbox style="mso-next-textbox:#_x0000_s6080" inset="0,0,0,0">
              <w:txbxContent>
                <w:p w:rsidR="009F72C3" w:rsidRDefault="009F72C3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F72C3" w:rsidRDefault="009F72C3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6081" o:spid="_x0000_s1028" type="#_x0000_t202" style="position:absolute;left:0;text-align:left;margin-left:227.3pt;margin-top:501.9pt;width:80.2pt;height:39.6pt;z-index:4;mso-position-horizontal-relative:page;mso-position-vertical-relative:page" stroked="f">
            <v:textbox style="mso-next-textbox:#_x0000_s6081" inset="0,0,0,0">
              <w:txbxContent>
                <w:p w:rsidR="009F72C3" w:rsidRDefault="009F72C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F72C3" w:rsidRDefault="009F72C3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82" o:spid="_x0000_s1029" type="#_x0000_t202" style="position:absolute;left:0;text-align:left;margin-left:359.15pt;margin-top:534.6pt;width:117pt;height:35.25pt;z-index:3;mso-position-horizontal-relative:page;mso-position-vertical-relative:page" stroked="f">
            <v:textbox style="mso-next-textbox:#_x0000_s6082" inset="0,0,0,0">
              <w:txbxContent>
                <w:p w:rsidR="009F72C3" w:rsidRDefault="009F72C3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F72C3" w:rsidRDefault="009F72C3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83" o:spid="_x0000_s1030" type="#_x0000_t202" style="position:absolute;left:0;text-align:left;margin-left:79.2pt;margin-top:113.65pt;width:481.35pt;height:358.2pt;z-index:2;mso-position-horizontal-relative:page;mso-position-vertical-relative:page" stroked="f">
            <v:textbox style="mso-next-textbox:#_x0000_s608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7"/>
                    <w:gridCol w:w="1435"/>
                  </w:tblGrid>
                  <w:tr w:rsidR="009F72C3" w:rsidRPr="009F72C3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9F72C3" w:rsidRDefault="009F72C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יהא לכל מונח המשמעות שיש לו בחוק בתי קברות צבאיים, תש"י-1950 1</w:t>
                        </w:r>
                      </w:p>
                      <w:p w:rsidR="009F72C3" w:rsidRP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והוא כשאין כוונה אחרת משתמעת.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9F72C3" w:rsidRP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9F72C3" w:rsidRPr="009F72C3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חל על העברת גופות נפטרים שהובאו לקבורה בבתי-קברות צבאיים ארעיים</w:t>
                        </w:r>
                      </w:p>
                      <w:p w:rsidR="009F72C3" w:rsidRP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י' בתשרי תשל"ד (6 באוקטובר 1973) עד יום פרסומו של חוק זה.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9F72C3" w:rsidRP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9F72C3" w:rsidRPr="009F72C3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על אף האמור בחוק העיקרי, רשאי בן-זוגו, בנו, בתו או הוריו של נפטר לבקש</w:t>
                        </w:r>
                      </w:p>
                      <w:p w:rsid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מהממונה, תוך חמישה עשר יום מיום פרסומו של חוק זה, שהנפטר יובא לקבורה בכית</w:t>
                        </w:r>
                      </w:p>
                      <w:p w:rsid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קברות שאיננו בית הקברות שקרוב זכאי לכך הודיע עליו לפי סעיף 4ב(2) לחוק העיקרי.</w:t>
                        </w:r>
                      </w:p>
                      <w:p w:rsid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שהוגשה לפי סעיף קטן (א) תובא להכרעת ועדה שימנה שר הבטחון</w:t>
                        </w:r>
                      </w:p>
                      <w:p w:rsidR="009F72C3" w:rsidRP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הועדה).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חילוקי דעות</w:t>
                        </w:r>
                      </w:p>
                      <w:p w:rsid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מקום</w:t>
                        </w:r>
                      </w:p>
                      <w:p w:rsid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קבורתו של</w:t>
                        </w:r>
                      </w:p>
                      <w:p w:rsidR="009F72C3" w:rsidRP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הנפטר</w:t>
                        </w:r>
                      </w:p>
                    </w:tc>
                  </w:tr>
                  <w:tr w:rsidR="009F72C3" w:rsidRPr="009F72C3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הועדה תהא של שלושה; יושב ראש הועדה יהיה נציג שר הבטחון, חבר אחד יתמנה</w:t>
                        </w:r>
                      </w:p>
                      <w:p w:rsid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המלצת הרב הצבאי הראשי והחבר השלישי יהא נציג ארגון יד לבנים; מען הועדה</w:t>
                        </w:r>
                      </w:p>
                      <w:p w:rsidR="009F72C3" w:rsidRP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במשרד הבטחון, תל-אביב.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9F72C3" w:rsidRP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</w:tr>
                  <w:tr w:rsidR="009F72C3" w:rsidRPr="009F72C3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הועדה תקבע בעצמה את סדרי הדיונים שלה ותתן לכל הנוגעים בדבר הזדמנות</w:t>
                        </w:r>
                      </w:p>
                      <w:p w:rsidR="009F72C3" w:rsidRP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להביא לפניה את טענותיהם, בכתב או בעל-פה, כפי שתחליט הועדה.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9F72C3" w:rsidRP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דיון</w:t>
                        </w:r>
                      </w:p>
                    </w:tc>
                  </w:tr>
                  <w:tr w:rsidR="009F72C3" w:rsidRPr="009F72C3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9F72C3" w:rsidRP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אין אחרי החלטת הועדה ולא כלום.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9F72C3" w:rsidRP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סופיות</w:t>
                        </w:r>
                      </w:p>
                    </w:tc>
                  </w:tr>
                  <w:tr w:rsidR="009F72C3" w:rsidRPr="009F72C3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9F72C3" w:rsidRP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4ב(3) לחוק העיקרי, במקום "אחד עשר חודש" קרי "תשעה חדשים".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9F72C3" w:rsidRP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הקדמת העברה</w:t>
                        </w:r>
                      </w:p>
                    </w:tc>
                  </w:tr>
                  <w:tr w:rsidR="009F72C3" w:rsidRPr="009F72C3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9F72C3" w:rsidRPr="009F72C3" w:rsidRDefault="009F7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הבטחון ממונה על ביצוע חוק זה.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9F72C3" w:rsidRPr="009F72C3" w:rsidRDefault="009F7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9F72C3" w:rsidRDefault="009F72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084" o:spid="_x0000_s1031" type="#_x0000_t202" style="position:absolute;left:0;text-align:left;margin-left:117.2pt;margin-top:84.35pt;width:309.85pt;height:25.75pt;z-index:1;mso-position-horizontal-relative:page;mso-position-vertical-relative:page" stroked="f">
            <v:textbox style="mso-next-textbox:#_x0000_s6084" inset="0,0,0,0">
              <w:txbxContent>
                <w:p w:rsidR="009F72C3" w:rsidRPr="009F72C3" w:rsidRDefault="009F72C3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קברות צבאיים (הוראת שעה), תשל"ד-1974*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72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B48C3B-5F62-4319-AD47-ED7106AF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72C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2008-04-06T22:10:00Z</dcterms:modified>
</cp:coreProperties>
</file>