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464C" w:rsidRDefault="00BE464C">
      <w:pPr>
        <w:rPr>
          <w:rtl/>
        </w:rPr>
      </w:pPr>
    </w:p>
    <w:p w:rsidR="00BE46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1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170" inset="0,0,0,0">
              <w:txbxContent>
                <w:p w:rsidR="0064603F" w:rsidRDefault="0064603F">
                  <w:r>
                    <w:rPr>
                      <w:rtl/>
                    </w:rPr>
                    <w:t>6 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171" o:spid="_x0000_s1026" type="#_x0000_t202" style="position:absolute;left:0;text-align:left;margin-left:87.05pt;margin-top:659pt;width:397.6pt;height:92.85pt;z-index:3;mso-position-horizontal-relative:page;mso-position-vertical-relative:page" stroked="f">
            <v:textbox style="mso-next-textbox:#_x0000_s6171" inset="0,0,0,0">
              <w:txbxContent>
                <w:p w:rsidR="0064603F" w:rsidRDefault="0064603F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כ"ז בכסלו תשכ''ג (24 בדצמבר 1962); הצעת החוק ורבלי הסבר נתפרסמו בהית 526, תשכ"ב,</w:t>
                  </w:r>
                </w:p>
                <w:p w:rsidR="0064603F" w:rsidRDefault="0064603F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306</w:t>
                  </w:r>
                </w:p>
                <w:p w:rsidR="0064603F" w:rsidRDefault="0064603F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עיר 1946' תוס' 1 מס' 1472, עמ' 60; ס"ח 164/ תשי''ד, עמ' 208.</w:t>
                  </w:r>
                </w:p>
                <w:p w:rsidR="0064603F" w:rsidRPr="00BE464C" w:rsidRDefault="0064603F">
                  <w:pPr>
                    <w:pStyle w:val="OCRStyle1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109' תשי''ב, עמ' .322</w:t>
                  </w:r>
                </w:p>
              </w:txbxContent>
            </v:textbox>
            <w10:wrap anchorx="page" anchory="page"/>
          </v:shape>
        </w:pict>
      </w:r>
      <w:r>
        <w:pict>
          <v:shape id="_x0000_s6172" o:spid="_x0000_s1027" type="#_x0000_t202" style="position:absolute;left:0;text-align:left;margin-left:87.05pt;margin-top:103.6pt;width:470.05pt;height:552.8pt;z-index:2;mso-position-horizontal-relative:page;mso-position-vertical-relative:page" stroked="f">
            <v:textbox style="mso-next-textbox:#_x0000_s61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1"/>
                    <w:gridCol w:w="1130"/>
                    <w:gridCol w:w="1188"/>
                  </w:tblGrid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בתי-חרושת' 1946 (להלן - הפקודה) 1, במקום סעיף 1 יבוא: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64603F">
                    <w:trPr>
                      <w:jc w:val="right"/>
                    </w:trPr>
                    <w:tc>
                      <w:tcPr>
                        <w:tcW w:w="3644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פקודה זו תיקרא "פקודת הבטיחות בעבודה' 1946"."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''השם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בהוראות הפקודה ובתקנות לפיה, במקום "בית חרושת" יבוא "מפעל".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מונח</w:t>
                        </w:r>
                      </w:p>
                    </w:tc>
                  </w:tr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 לפקודה -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אחרי פסקה (17) יבואו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"(18) מברה;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מקום שבו מבוצעת פעולה לשם מטרת נפט כמשמעותה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44 לחוק הנפט' תשי"ב-1952 2;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מקום בו מבוצע קידוח מים.";</w:t>
                        </w:r>
                      </w:p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(5) - בטל.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6 לפקודה' בפסקה (ג), במקום פסקת משנה (11) יבוא: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מקום שמקיימים אותם צבועים בצבע שמן או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בחומר אחר שאושר לכך בתקנות. או מחופים לכה' יש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ולצבעם או לחפותם לכה לפחות אחת לשבע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או לתקופות קצרות יותר שקבע שר העבודה,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יהיו קצרות מ-14 חודש; כן יש לנקותם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ל-14 חודש לפחות' במים חמים ובסבון או בחומר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ניקוי מתאים אחר' או בדרך ניקוי אחרת שתאושר</w:t>
                        </w:r>
                      </w:p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מפקח אזורי."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15 לפקודה' במקום פסקה (א) יבוא: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קרו או שיש השש סביר שיקרו מקרי מחלה שיש ליחסם</w:t>
                        </w:r>
                      </w:p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לעבודה' לחמרים או לתהליך שבמפעל; או".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24 לפקודה' במקום מעיף קטן (12) יבוא: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היה המפקח הראשי סבור' כי לגבי מיתקן פלוני, או לגבי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של המיתקנים האמורים בסעיף זה' אין זה מעשי או סביר לקיים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 סעיף זה, רשאי הוא לפטור ממנה בתנאים שייראו לוז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לפי סעיף קטן זה לגבי מיתקן פלוני יהיה בתעודה' ולגבי סוג של</w:t>
                        </w:r>
                      </w:p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מיתקנים יפורסם ברשומות,"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28 לפקודה' בסעיף קטן (2)' במקום "שלושה מטרים" יבוא "שני מטרים".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64603F" w:rsidRPr="00BE464C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64603F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31 לפקודה -</w:t>
                        </w:r>
                      </w:p>
                      <w:p w:rsidR="0064603F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(13)' במקום "למפקח הראשי" יבוא' בכל מקום, "למפקח</w:t>
                        </w:r>
                      </w:p>
                      <w:p w:rsidR="0064603F" w:rsidRPr="00BE464C" w:rsidRDefault="006460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אזורי";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4603F" w:rsidRPr="00BE464C" w:rsidRDefault="006460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</w:tbl>
                <w:p w:rsidR="0064603F" w:rsidRDefault="006460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173" o:spid="_x0000_s1028" type="#_x0000_t202" style="position:absolute;left:0;text-align:left;margin-left:146.45pt;margin-top:70.95pt;width:273.65pt;height:29.3pt;z-index:1;mso-position-horizontal-relative:page;mso-position-vertical-relative:page" stroked="f">
            <v:textbox style="mso-next-textbox:#_x0000_s6173" inset="0,0,0,0">
              <w:txbxContent>
                <w:p w:rsidR="0064603F" w:rsidRPr="00BE464C" w:rsidRDefault="0064603F">
                  <w:pPr>
                    <w:pStyle w:val="OCRStyle1"/>
                    <w:ind w:left="15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חרושת, תשכ"ג-1962 *</w:t>
                  </w:r>
                </w:p>
              </w:txbxContent>
            </v:textbox>
            <w10:wrap anchorx="page" anchory="page"/>
          </v:shape>
        </w:pict>
      </w:r>
    </w:p>
    <w:p w:rsidR="00EB77EC" w:rsidRDefault="00EB77EC">
      <w:pPr>
        <w:rPr>
          <w:rtl/>
        </w:rPr>
      </w:pPr>
      <w:r>
        <w:rPr>
          <w:rtl/>
        </w:rPr>
        <w:br w:type="page"/>
      </w:r>
    </w:p>
    <w:p w:rsidR="00EB77EC" w:rsidRDefault="00000000">
      <w:pPr>
        <w:rPr>
          <w:rtl/>
        </w:rPr>
      </w:pPr>
      <w:r>
        <w:pict>
          <v:shape id="_x0000_s61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174" inset="0,0,0,0">
              <w:txbxContent>
                <w:p w:rsidR="0064603F" w:rsidRDefault="0064603F">
                  <w:r>
                    <w:rPr>
                      <w:rtl/>
                    </w:rPr>
                    <w:t>7 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175" o:spid="_x0000_s1030" type="#_x0000_t202" style="position:absolute;left:0;text-align:left;margin-left:365.75pt;margin-top:719.45pt;width:174.65pt;height:29.3pt;z-index:6;mso-position-horizontal-relative:page;mso-position-vertical-relative:page" stroked="f">
            <v:textbox style="mso-next-textbox:#_x0000_s6175" inset="0,0,0,0">
              <w:txbxContent>
                <w:p w:rsidR="0064603F" w:rsidRDefault="0064603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176" o:spid="_x0000_s1031" type="#_x0000_t202" style="position:absolute;left:0;text-align:left;margin-left:83.4pt;margin-top:68.6pt;width:472.65pt;height:643.1pt;z-index:5;mso-position-horizontal-relative:page;mso-position-vertical-relative:page" stroked="f">
            <v:textbox style="mso-next-textbox:#_x0000_s617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5667"/>
                    <w:gridCol w:w="1566"/>
                  </w:tblGrid>
                  <w:tr w:rsidR="0064603F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(15) יבואן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שר העבודה רשאי לקבוע בתקנות הוראות - אף בסטיה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זה - בדבר דרכי הבדיקה של דודי קיטור ומועדיה, אם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מחייבת או מצדיקה זאת."</w:t>
                        </w:r>
                      </w:p>
                    </w:tc>
                  </w:tr>
                  <w:tr w:rsidR="0064603F" w:rsidRPr="00EB77EC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64603F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32 לפקודה/ בסעיף קטן (8), במקום "למפקח הראשי" יבוא, במל מקום,</w:t>
                        </w:r>
                      </w:p>
                      <w:p w:rsidR="0064603F" w:rsidRPr="00EB77EC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"למפקח אזורי'/</w:t>
                        </w:r>
                      </w:p>
                    </w:tc>
                  </w:tr>
                  <w:tr w:rsidR="0064603F" w:rsidRPr="00EB77EC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33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64603F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33 לפקודה -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(7), במקום "למפקח הראשי" יבוא, בכל מקום, "למפקח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אזורי";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(8), בהגדרת "לחץ עבודה מכסימלי מורשה", במקום</w:t>
                        </w:r>
                      </w:p>
                      <w:p w:rsidR="0064603F" w:rsidRPr="00EB77EC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"קולט קיטור" יבוא "קולט אויר".</w:t>
                        </w:r>
                      </w:p>
                    </w:tc>
                  </w:tr>
                  <w:tr w:rsidR="0064603F" w:rsidRPr="00EB77EC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44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44 לפקודה יבוא:</w:t>
                        </w:r>
                      </w:p>
                    </w:tc>
                  </w:tr>
                  <w:tr w:rsidR="0064603F" w:rsidRPr="00EB77EC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7" w:type="pct"/>
                      </w:tcPr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(1) במפעל יהיו כסאות או ספסלים מתאימים, בעלי משענת גב'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מספיק ובמצב תקין כדי לאפשר לעובדים לשבת כשיש להם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העבודה הזדמנות סבירה לכך בלי שתופרע העבודה.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ניתן באופן סביר לבצע חלק מהעבודה תוך ישיבה' יותקן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ויקויים בשביל העובד באותה עבודה מושב בעל משענת גב' מותאם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בצורתו, במבנהו ובממדיו לעובד ולעבודה המבוצעת' וכן הדום שעליו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 להשעץ רגליו בנוחות, אם אין הוא יכול לעשות כן בלי הדום.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מפקח אזורי רשאי לפטור מהתקנת משענת גב' במקום שאין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מעשי לדעתו לעשות זאת."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''מקומות ישיבה</w:t>
                        </w:r>
                      </w:p>
                    </w:tc>
                  </w:tr>
                  <w:tr w:rsidR="0064603F" w:rsidRPr="00EB77EC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64603F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52 לפקודה -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(1) יבוא: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לא תיעשה עבודה בחדר שבקומת מרתף', שבנייתו הושלמה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ד' בטבת תשכ"ג (31 בדצמבר 1962), אלא אם אישר מפקח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בכתב שהחדר מתאים לתעודתו מבחינת הבטיחות והגיהות בעבודה.";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(4) יבוא: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רשאי מפקח אזורי לבטל הודעה לפי סעיף קטן (1) או אישור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(1א) אם לדעתו הלו בחדר שינויים העושים את החדר</w:t>
                        </w:r>
                      </w:p>
                      <w:p w:rsidR="0064603F" w:rsidRPr="00EB77EC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לתעודתו, או לא מתאים לתעודתו, הכל לפי הענין."</w:t>
                        </w:r>
                      </w:p>
                    </w:tc>
                  </w:tr>
                  <w:tr w:rsidR="0064603F" w:rsidRPr="00EB77EC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54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64603F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בסעיף 54 לפקודה, בכל מקום אחרי המלים "במפעלים" ו-"מפעל" יבוא "או כל</w:t>
                        </w:r>
                      </w:p>
                      <w:p w:rsidR="0064603F" w:rsidRPr="00EB77EC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עבודה אחר'/</w:t>
                        </w:r>
                      </w:p>
                    </w:tc>
                  </w:tr>
                  <w:tr w:rsidR="0064603F" w:rsidRPr="00EB77EC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64603F" w:rsidRPr="00EB77EC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208" w:type="pct"/>
                        <w:gridSpan w:val="2"/>
                      </w:tcPr>
                      <w:p w:rsidR="0064603F" w:rsidRDefault="006460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55 לפקודה -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יבוא: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סבור שר העבודה כי ייצור, מכונות, מיתקן, ציוד, חומר,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תהליך, מעשה או מחדל הנהוגים במפעל וכן במקום עבודה פלוני אף אם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מפעל כמשמעותו בסעיף 2, עלולים לגרום חבלת גוף - רשאי הוא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בטיחות וגיהות בעבודה כפי שייראה לו למניעת</w:t>
                        </w:r>
                      </w:p>
                      <w:p w:rsidR="0064603F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הסכנה כאמור, אלא שבדבר השימוש בחומר הדברה בחקלאות לא יתקין</w:t>
                        </w:r>
                      </w:p>
                      <w:p w:rsidR="0064603F" w:rsidRPr="00EB77EC" w:rsidRDefault="006460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בלי הסכמת שר החקלאות ושר הבריאות.";</w:t>
                        </w:r>
                      </w:p>
                    </w:tc>
                  </w:tr>
                </w:tbl>
                <w:p w:rsidR="0064603F" w:rsidRDefault="0064603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B5B47" w:rsidRDefault="005B5B47">
      <w:pPr>
        <w:rPr>
          <w:rtl/>
        </w:rPr>
      </w:pPr>
      <w:r>
        <w:rPr>
          <w:rtl/>
        </w:rPr>
        <w:br w:type="page"/>
      </w:r>
    </w:p>
    <w:p w:rsidR="005B5B47" w:rsidRDefault="00000000">
      <w:pPr>
        <w:rPr>
          <w:rtl/>
        </w:rPr>
      </w:pPr>
      <w:r>
        <w:pict>
          <v:shape id="_x0000_s617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177" inset="0,0,0,0">
              <w:txbxContent>
                <w:p w:rsidR="0064603F" w:rsidRDefault="0064603F">
                  <w:r>
                    <w:rPr>
                      <w:rtl/>
                    </w:rPr>
                    <w:t>8 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178" o:spid="_x0000_s1033" type="#_x0000_t202" style="position:absolute;left:0;text-align:left;margin-left:87.15pt;margin-top:719.3pt;width:184.15pt;height:30.3pt;z-index:9;mso-position-horizontal-relative:page;mso-position-vertical-relative:page" stroked="f">
            <v:textbox style="mso-next-textbox:#_x0000_s6178" inset="0,0,0,0">
              <w:txbxContent>
                <w:p w:rsidR="0064603F" w:rsidRDefault="0064603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179" o:spid="_x0000_s1034" type="#_x0000_t202" style="position:absolute;left:0;text-align:left;margin-left:81.2pt;margin-top:62.55pt;width:478.55pt;height:649.05pt;z-index:8;mso-position-horizontal-relative:page;mso-position-vertical-relative:page" stroked="f">
            <v:textbox style="mso-next-textbox:#_x0000_s617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3"/>
                    <w:gridCol w:w="1512"/>
                    <w:gridCol w:w="1375"/>
                  </w:tblGrid>
                  <w:tr w:rsidR="0064603F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(3) יבוא: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תקנות לפי סעיף זה יכול שיהיו כלליות או לסוגים, או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למפעל או למקום עבודה אחר.";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(3) יבוא: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מקום עבודה שחלות עליו תקנות שהותקנו לפי סעיף זה,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כמפעל לענין סעיף 73, במידה שהוטלה חובת ניהול פנקס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רישומים אחרים/ ולענין הסעיפים 79,74 וחלק 10."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4603F" w:rsidRPr="005B5B4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61 לפקודה' אחרי המלים "דוד-קיטור" או "דוד" יבוא, בכל מקום, "קולט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קיטור או קולט אויר".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64603F" w:rsidRPr="005B5B4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65 לפקודה, בסעיף קטן(1), אחרי המלים "דלק בספינה" יבוא "או בניקוי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מיכלים או מחסנים בספינה שהשתמשו בהם לאחרונה להובלת נפט גלמי או דלק נוזל אחר</w:t>
                        </w:r>
                      </w:p>
                      <w:p w:rsidR="0064603F" w:rsidRPr="005B5B47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סוג שהוא או כל חומר ששר העבודה קבע בתקנות כחומר מסוכן".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64603F" w:rsidRPr="005B5B4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66 לפקודה, בסעיף קטן (1), אחרי המלים "ולצורך זה" יבוא "וכן על פעולות</w:t>
                        </w:r>
                      </w:p>
                      <w:p w:rsidR="0064603F" w:rsidRPr="005B5B47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שאינן תיקון או החזקה בלבד אף אם אינן בדרך מסחר או עסק".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64603F" w:rsidRPr="005B5B4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69 לפקודה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60</w:t>
                        </w:r>
                      </w:p>
                    </w:tc>
                  </w:tr>
                  <w:tr w:rsidR="0064603F">
                    <w:trPr>
                      <w:jc w:val="right"/>
                    </w:trPr>
                    <w:tc>
                      <w:tcPr>
                        <w:tcW w:w="3341" w:type="pct"/>
                      </w:tcPr>
                      <w:p w:rsidR="0064603F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(1) לא יתחיל אדם להחזיק במקום כמפעל ולא יתחיל להשתמש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כמפעל אלא אם נמסרה, לפחות עשרה ימים מראש, הודעה בכתב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אזורי ובה שם המחזיק ומען המפעל, מהות המפעל וכל פרט נוסף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העבודה בתקנות, או אם התיר המפקח בכתב להחזיק או להש-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כאמור לפני תום עשרת הימים.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הועבר המפעל אל האדם מידי אחר ולא חל שינוי במהות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בו, רשאי האדם להתחיל להחזיק בו לפני תום עשרה ימים למסירת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או אף לפני מסירת הודעה, ובלבד שתימסר תוך חודש לאחר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ההעברה.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העובר על הוראות סעיף זה, דינו - קנס 500 לירות וקנס</w:t>
                        </w:r>
                      </w:p>
                      <w:p w:rsidR="0064603F" w:rsidRPr="005B5B47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20 לירות לכל יום בו נמשכת העבירה."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מפעל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4603F" w:rsidRPr="005B5B4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בסעיף 82 לפקודה, במקום סעיף קטן (5)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82</w:t>
                        </w:r>
                      </w:p>
                    </w:tc>
                  </w:tr>
                  <w:tr w:rsidR="0064603F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חברה, אגודה שיתופית, או בל חבר בני-אדם אחר שעברו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העבירות לפי פקודה זו, רואים כאחראי לעבירה גם כל מנהל, שותף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פקיד אחראי של אותו חבר בני-אדם, ואפשר להביאו לדין כאילו עבר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את העבירה, אם לא הוכיח שהעבירה נעברה שלא בידיעתו או שנקט</w:t>
                        </w:r>
                      </w:p>
                      <w:p w:rsidR="0064603F" w:rsidRPr="005B5B47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סבירים למניעת העבירה."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4603F" w:rsidRPr="005B5B47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84 לפקודה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84</w:t>
                        </w:r>
                      </w:p>
                    </w:tc>
                  </w:tr>
                  <w:tr w:rsidR="0064603F">
                    <w:trPr>
                      <w:jc w:val="right"/>
                    </w:trPr>
                    <w:tc>
                      <w:tcPr>
                        <w:tcW w:w="3341" w:type="pct"/>
                      </w:tcPr>
                      <w:p w:rsidR="0064603F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בכפוף לנאמר להלן בפקודה זו, העובר עבירה לפי פקודה זו שלא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לה עונש אחר, דינו - מאסר חודש או קנס 1000 לירות, ומאסר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שבעה ימים או קנס נוסף 100 לירות לכל יום שבו נמשכת העבירה,</w:t>
                        </w:r>
                      </w:p>
                      <w:p w:rsidR="0064603F" w:rsidRPr="005B5B47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ובעבירה שהיתה עשויה לגרום מוות או חבלת גוף, דינו - מאסר שלושה</w:t>
                        </w:r>
                      </w:p>
                    </w:tc>
                    <w:tc>
                      <w:tcPr>
                        <w:tcW w:w="869" w:type="pct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 על עבירות</w:t>
                        </w:r>
                      </w:p>
                      <w:p w:rsidR="0064603F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נקבע להן</w:t>
                        </w:r>
                      </w:p>
                      <w:p w:rsidR="0064603F" w:rsidRPr="005B5B47" w:rsidRDefault="0064603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עובש מפורש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4603F" w:rsidRDefault="0064603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4603F" w:rsidRDefault="0064603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4603F" w:rsidRDefault="0064603F">
      <w:pPr>
        <w:rPr>
          <w:rtl/>
        </w:rPr>
      </w:pPr>
      <w:r>
        <w:rPr>
          <w:rtl/>
        </w:rPr>
        <w:br w:type="page"/>
      </w:r>
    </w:p>
    <w:p w:rsidR="0064603F" w:rsidRDefault="00000000">
      <w:pPr>
        <w:rPr>
          <w:rtl/>
        </w:rPr>
      </w:pPr>
      <w:r>
        <w:pict>
          <v:shape id="_x0000_s6180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6180" inset="0,0,0,0">
              <w:txbxContent>
                <w:p w:rsidR="0064603F" w:rsidRDefault="0064603F">
                  <w:r>
                    <w:rPr>
                      <w:rtl/>
                    </w:rPr>
                    <w:t>9 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181" o:spid="_x0000_s1036" type="#_x0000_t202" style="position:absolute;left:0;text-align:left;margin-left:408.5pt;margin-top:295.65pt;width:137.8pt;height:24.95pt;z-index:15;mso-position-horizontal-relative:page;mso-position-vertical-relative:page" stroked="f">
            <v:textbox style="mso-next-textbox:#_x0000_s6181" inset="0,0,0,0">
              <w:txbxContent>
                <w:p w:rsidR="0064603F" w:rsidRPr="0064603F" w:rsidRDefault="0064603F">
                  <w:pPr>
                    <w:pStyle w:val="OCRStyle4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166, תשי"ד,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182" o:spid="_x0000_s1037" type="#_x0000_t202" style="position:absolute;left:0;text-align:left;margin-left:189.9pt;margin-top:211.3pt;width:74.05pt;height:32.65pt;z-index:14;mso-position-horizontal-relative:page;mso-position-vertical-relative:page" stroked="f">
            <v:textbox style="mso-next-textbox:#_x0000_s6182" inset="0,0,0,0">
              <w:txbxContent>
                <w:p w:rsidR="0064603F" w:rsidRDefault="0064603F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64603F" w:rsidRDefault="0064603F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83" o:spid="_x0000_s1038" type="#_x0000_t202" style="position:absolute;left:0;text-align:left;margin-left:292.25pt;margin-top:209.5pt;width:107.7pt;height:41.4pt;z-index:13;mso-position-horizontal-relative:page;mso-position-vertical-relative:page" stroked="f">
            <v:textbox style="mso-next-textbox:#_x0000_s6183" inset="0,0,0,0">
              <w:txbxContent>
                <w:p w:rsidR="0064603F" w:rsidRDefault="0064603F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4603F" w:rsidRDefault="0064603F">
                  <w:pPr>
                    <w:pStyle w:val="OCRStyle4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84" o:spid="_x0000_s1039" type="#_x0000_t202" style="position:absolute;left:0;text-align:left;margin-left:437pt;margin-top:237pt;width:104.15pt;height:49.9pt;z-index:12;mso-position-horizontal-relative:page;mso-position-vertical-relative:page" stroked="f">
            <v:textbox style="mso-next-textbox:#_x0000_s6184" inset="0,0,0,0">
              <w:txbxContent>
                <w:p w:rsidR="0064603F" w:rsidRDefault="0064603F">
                  <w:pPr>
                    <w:pStyle w:val="OCRStyle4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64603F" w:rsidRDefault="0064603F">
                  <w:pPr>
                    <w:pStyle w:val="OCRStyle4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85" o:spid="_x0000_s1040" type="#_x0000_t202" style="position:absolute;left:0;text-align:left;margin-left:87.5pt;margin-top:58.8pt;width:459.55pt;height:146.3pt;z-index:11;mso-position-horizontal-relative:page;mso-position-vertical-relative:page" stroked="f">
            <v:textbox style="mso-next-textbox:#_x0000_s61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7"/>
                    <w:gridCol w:w="7008"/>
                  </w:tblGrid>
                  <w:tr w:rsidR="0064603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4603F" w:rsidRDefault="0064603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</w:tcPr>
                      <w:p w:rsidR="0064603F" w:rsidRDefault="006460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3000 לירות, ומאסר נוסף שבעה ימים או קנס נוסף 100</w:t>
                        </w:r>
                      </w:p>
                      <w:p w:rsidR="0064603F" w:rsidRDefault="006460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לכל יום שבו נמשכת העבירה; אין בהוראות סעיף זה כדי לגרוע</w:t>
                        </w:r>
                      </w:p>
                      <w:p w:rsidR="0064603F" w:rsidRDefault="006460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למותו של אדם או לחבלה בגופו לפי דין אחר."</w:t>
                        </w:r>
                      </w:p>
                    </w:tc>
                  </w:tr>
                  <w:tr w:rsidR="0064603F" w:rsidRPr="0064603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4603F" w:rsidRPr="0064603F" w:rsidRDefault="0064603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64603F" w:rsidRPr="0064603F" w:rsidRDefault="006460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סעיף 86 לפקודה - בטל.</w:t>
                        </w:r>
                      </w:p>
                    </w:tc>
                  </w:tr>
                  <w:tr w:rsidR="0064603F" w:rsidRPr="0064603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4603F" w:rsidRPr="0064603F" w:rsidRDefault="0064603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ענשים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64603F" w:rsidRDefault="0064603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סעיף 5 לחוק לתיקון דיני העונשין (דרכי ענישה), תשי"ד-1954 3, לא יחול על הקנסות</w:t>
                        </w:r>
                      </w:p>
                      <w:p w:rsidR="0064603F" w:rsidRDefault="006460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בסעיפים 21(2), 31(12), 35(1) למעט הקנס הנוסף, 57(4), 70(3), 85(1), 87 ו-92</w:t>
                        </w:r>
                      </w:p>
                      <w:p w:rsidR="0064603F" w:rsidRPr="0064603F" w:rsidRDefault="006460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ובמקום סכומי הקנסות הקבועים בהם יבואו סכומים הגדולים פי שלושים.</w:t>
                        </w:r>
                      </w:p>
                    </w:tc>
                  </w:tr>
                </w:tbl>
                <w:p w:rsidR="0064603F" w:rsidRDefault="0064603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E46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AE53B1-A279-4870-81F3-59D00308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464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B77E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B5B4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460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2008-04-07T02:04:00Z</dcterms:created>
  <dcterms:modified xsi:type="dcterms:W3CDTF">2008-04-07T02:05:00Z</dcterms:modified>
</cp:coreProperties>
</file>