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191C2A" w:rsidRDefault="00191C2A">
      <w:pPr>
        <w:rPr>
          <w:rtl/>
        </w:rPr>
      </w:pPr>
    </w:p>
    <w:p w:rsidR="00191C2A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6333" o:spid="_x0000_s1025" type="#_x0000_t202" style="position:absolute;left:0;text-align:left;margin-left:50pt;margin-top:771.95pt;width:495.35pt;height:30pt;z-index:6;mso-position-horizontal-relative:page;mso-position-vertical-relative:page" stroked="f">
            <v:textbox style="mso-next-textbox:#_x0000_s6333" inset="0,0,0,0">
              <w:txbxContent>
                <w:p w:rsidR="005673AB" w:rsidRDefault="005673AB">
                  <w:r>
                    <w:rPr>
                      <w:rtl/>
                    </w:rPr>
                    <w:t>286                                          ספר החוקים 57                      כ"ו באב התש"י 09.08.1950</w:t>
                  </w:r>
                </w:p>
              </w:txbxContent>
            </v:textbox>
            <w10:wrap anchorx="page" anchory="page"/>
          </v:shape>
        </w:pict>
      </w:r>
      <w:r>
        <w:pict>
          <v:shape id="_x0000_s6334" o:spid="_x0000_s1026" type="#_x0000_t202" style="position:absolute;left:0;text-align:left;margin-left:82.35pt;margin-top:724.9pt;width:169.5pt;height:17.05pt;z-index:5;mso-position-horizontal-relative:page;mso-position-vertical-relative:page" stroked="f">
            <v:textbox style="mso-next-textbox:#_x0000_s6334" inset="0,0,0,0">
              <w:txbxContent>
                <w:p w:rsidR="005673AB" w:rsidRDefault="005673AB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6335" o:spid="_x0000_s1027" type="#_x0000_t202" style="position:absolute;left:0;text-align:left;margin-left:214.2pt;margin-top:676.8pt;width:222.95pt;height:18.8pt;z-index:4;mso-position-horizontal-relative:page;mso-position-vertical-relative:page" stroked="f">
            <v:textbox style="mso-next-textbox:#_x0000_s6335" inset="0,0,0,0">
              <w:txbxContent>
                <w:p w:rsidR="005673AB" w:rsidRPr="00191C2A" w:rsidRDefault="005673AB">
                  <w:pPr>
                    <w:pStyle w:val="OCRStyle1"/>
                    <w:ind w:left="151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* נתקבל בכנסת ביום י"ח באב תש"י (1 באוגוסט 1950).</w:t>
                  </w:r>
                </w:p>
              </w:txbxContent>
            </v:textbox>
            <w10:wrap anchorx="page" anchory="page"/>
          </v:shape>
        </w:pict>
      </w:r>
      <w:r>
        <w:pict>
          <v:shape id="_x0000_s6336" o:spid="_x0000_s1028" type="#_x0000_t202" style="position:absolute;left:0;text-align:left;margin-left:74.25pt;margin-top:160.4pt;width:461.95pt;height:511.05pt;z-index:3;mso-position-horizontal-relative:page;mso-position-vertical-relative:page" stroked="f">
            <v:textbox style="mso-next-textbox:#_x0000_s6336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33"/>
                    <w:gridCol w:w="1265"/>
                  </w:tblGrid>
                  <w:tr w:rsidR="005673AB" w:rsidRPr="00191C2A">
                    <w:trPr>
                      <w:jc w:val="right"/>
                    </w:trPr>
                    <w:tc>
                      <w:tcPr>
                        <w:tcW w:w="4247" w:type="pct"/>
                      </w:tcPr>
                      <w:p w:rsidR="005673AB" w:rsidRDefault="005673AB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בחוק זה -</w:t>
                        </w:r>
                      </w:p>
                      <w:p w:rsidR="005673AB" w:rsidRDefault="005673A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"נערה" פירושה אשה שלא מלאו לה שבע עשרה שנים תמימות :</w:t>
                        </w:r>
                      </w:p>
                      <w:p w:rsidR="005673AB" w:rsidRDefault="005673A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"נישואין" - כוללים קידושין: והפועל "נשא", לכל בניניו, יתפרש לפי זה?</w:t>
                        </w:r>
                      </w:p>
                      <w:p w:rsidR="005673AB" w:rsidRDefault="005673A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"פקיד סעד" פירושו - אדם שנתמנה על ידי שר הסעד להיות פקיד סעד</w:t>
                        </w:r>
                      </w:p>
                      <w:p w:rsidR="005673AB" w:rsidRPr="00191C2A" w:rsidRDefault="005673A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לצורך חוק זה.</w:t>
                        </w:r>
                      </w:p>
                    </w:tc>
                    <w:tc>
                      <w:tcPr>
                        <w:tcW w:w="753" w:type="pct"/>
                      </w:tcPr>
                      <w:p w:rsidR="005673AB" w:rsidRPr="00191C2A" w:rsidRDefault="005673A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פיררשים</w:t>
                        </w:r>
                      </w:p>
                    </w:tc>
                  </w:tr>
                  <w:tr w:rsidR="005673AB" w:rsidRPr="00191C2A">
                    <w:trPr>
                      <w:jc w:val="right"/>
                    </w:trPr>
                    <w:tc>
                      <w:tcPr>
                        <w:tcW w:w="4247" w:type="pct"/>
                      </w:tcPr>
                      <w:p w:rsidR="005673AB" w:rsidRDefault="005673A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אדם שעשה אחד מאלה -</w:t>
                        </w:r>
                      </w:p>
                      <w:p w:rsidR="005673AB" w:rsidRDefault="005673A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נשא נערה :</w:t>
                        </w:r>
                      </w:p>
                      <w:p w:rsidR="005673AB" w:rsidRDefault="005673A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ערך נישואין, או סייע בכל תפקיד שהוא בעריכת נישואין, או בקשר</w:t>
                        </w:r>
                      </w:p>
                      <w:p w:rsidR="005673AB" w:rsidRDefault="005673A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לעריכת נישואין, של נערה :</w:t>
                        </w:r>
                      </w:p>
                      <w:p w:rsidR="005673AB" w:rsidRDefault="005673A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השיא נערה שהיא בתו או שהיא נתונה לאפוטרופסותו -</w:t>
                        </w:r>
                      </w:p>
                      <w:p w:rsidR="005673AB" w:rsidRPr="00191C2A" w:rsidRDefault="005673A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דינו - מאסר עד שתי שנים או קנס עד שש מאות לירות או שני הענשים כאחר.</w:t>
                        </w:r>
                      </w:p>
                    </w:tc>
                    <w:tc>
                      <w:tcPr>
                        <w:tcW w:w="753" w:type="pct"/>
                      </w:tcPr>
                      <w:p w:rsidR="005673AB" w:rsidRPr="00191C2A" w:rsidRDefault="005673A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עבירות</w:t>
                        </w:r>
                      </w:p>
                    </w:tc>
                  </w:tr>
                  <w:tr w:rsidR="005673AB" w:rsidRPr="00191C2A">
                    <w:trPr>
                      <w:jc w:val="right"/>
                    </w:trPr>
                    <w:tc>
                      <w:tcPr>
                        <w:tcW w:w="4247" w:type="pct"/>
                      </w:tcPr>
                      <w:p w:rsidR="005673AB" w:rsidRDefault="005673A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3, (א) נערכו נישואין בניגוד לסעיף 2, והם תופסים לפי החוק החל על עניני</w:t>
                        </w:r>
                      </w:p>
                      <w:p w:rsidR="005673AB" w:rsidRDefault="005673A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המעמד האישי של הצדדים-תשמש העובדה שהנישואין נערכו בניגוד לסעיף 2 עילת</w:t>
                        </w:r>
                      </w:p>
                      <w:p w:rsidR="005673AB" w:rsidRDefault="005673A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 תביעה להתרתם בדרך של גט, או בדרך של פירוק קשר הנישואין, או בדרך</w:t>
                        </w:r>
                      </w:p>
                      <w:p w:rsidR="005673AB" w:rsidRDefault="005673A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אחרת, הכל לפי הוראות החוק החל על עניני המעמד האישי של הצדדים.</w:t>
                        </w:r>
                      </w:p>
                      <w:p w:rsidR="005673AB" w:rsidRDefault="005673A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תביעה להתרת קשר נישואין על יסוד העילה האמורה בסעיף קטן (א)</w:t>
                        </w:r>
                      </w:p>
                      <w:p w:rsidR="005673AB" w:rsidRDefault="005673A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יכולה להיות מוגשת על ידי האשה, או על ידי אחד מהוריה או מאפוטרופסיה, או</w:t>
                        </w:r>
                      </w:p>
                      <w:p w:rsidR="005673AB" w:rsidRDefault="005673A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ידי פקיד סעד.</w:t>
                        </w:r>
                      </w:p>
                      <w:p w:rsidR="005673AB" w:rsidRDefault="005673A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הוגשה, שלא על ידי פקיד סעד, תביעה להתרת קשר נישואין על יסוד</w:t>
                        </w:r>
                      </w:p>
                      <w:p w:rsidR="005673AB" w:rsidRDefault="005673A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העילה האמורה בסעיף קטן (א), ובשעת הגשת התביעה לא מלאו לאשה שמונה</w:t>
                        </w:r>
                      </w:p>
                      <w:p w:rsidR="005673AB" w:rsidRDefault="005673A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עשרה שנים תמימות, ופקיד סעד סבור שהדיון בתביעה יש בו ענין לכלל - רשאי</w:t>
                        </w:r>
                      </w:p>
                      <w:p w:rsidR="005673AB" w:rsidRDefault="005673A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הוא, לפי שיקול דעתו, להופיע בדיון ולהשמיע בו את טענותיה</w:t>
                        </w:r>
                      </w:p>
                      <w:p w:rsidR="005673AB" w:rsidRDefault="005673A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אין נזקקים לתביעה להתרת קשר נישואין על יסוד העילה האמורה</w:t>
                        </w:r>
                      </w:p>
                      <w:p w:rsidR="005673AB" w:rsidRDefault="005673A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קטן (א), אלא אם -</w:t>
                        </w:r>
                      </w:p>
                      <w:p w:rsidR="005673AB" w:rsidRDefault="005673A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הוגשה התביעה על ידי האשה לפני שמלאו לה תשע עשרה שנים</w:t>
                        </w:r>
                      </w:p>
                      <w:p w:rsidR="005673AB" w:rsidRDefault="005673A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תמימות : או</w:t>
                        </w:r>
                      </w:p>
                      <w:p w:rsidR="005673AB" w:rsidRDefault="005673A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הוגשה התביעה על ידי אחד מהוריה או מאפוטרופסיה של האשה,</w:t>
                        </w:r>
                      </w:p>
                      <w:p w:rsidR="005673AB" w:rsidRPr="00191C2A" w:rsidRDefault="005673A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על ידי פקיד סעד, לפני שמלאו לאשה שמונה עשרה שנים תמימות.</w:t>
                        </w:r>
                      </w:p>
                    </w:tc>
                    <w:tc>
                      <w:tcPr>
                        <w:tcW w:w="753" w:type="pct"/>
                      </w:tcPr>
                      <w:p w:rsidR="005673AB" w:rsidRDefault="005673A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עילת תביעה</w:t>
                        </w:r>
                      </w:p>
                      <w:p w:rsidR="005673AB" w:rsidRDefault="005673A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להתרת קשר</w:t>
                        </w:r>
                      </w:p>
                      <w:p w:rsidR="005673AB" w:rsidRPr="00191C2A" w:rsidRDefault="005673A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נישואין</w:t>
                        </w:r>
                      </w:p>
                    </w:tc>
                  </w:tr>
                  <w:tr w:rsidR="005673AB" w:rsidRPr="00191C2A">
                    <w:trPr>
                      <w:jc w:val="right"/>
                    </w:trPr>
                    <w:tc>
                      <w:tcPr>
                        <w:tcW w:w="4247" w:type="pct"/>
                      </w:tcPr>
                      <w:p w:rsidR="005673AB" w:rsidRDefault="005673A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בקביעת ענשו של אדם שיצא חייב בדין על עבירה לפי פסקה (א) של סעיף</w:t>
                        </w:r>
                      </w:p>
                      <w:p w:rsidR="005673AB" w:rsidRPr="00191C2A" w:rsidRDefault="005673A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 יביא בית המשפט בחשבון, כגורם להמתקת העונש, את העובדות הבאות:</w:t>
                        </w:r>
                      </w:p>
                    </w:tc>
                    <w:tc>
                      <w:tcPr>
                        <w:tcW w:w="753" w:type="pct"/>
                      </w:tcPr>
                      <w:p w:rsidR="005673AB" w:rsidRPr="00191C2A" w:rsidRDefault="005673A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נסיבות מקילות</w:t>
                        </w:r>
                      </w:p>
                    </w:tc>
                  </w:tr>
                </w:tbl>
                <w:p w:rsidR="005673AB" w:rsidRDefault="005673AB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6337" o:spid="_x0000_s1029" type="#_x0000_t202" style="position:absolute;left:0;text-align:left;margin-left:176.8pt;margin-top:123.8pt;width:185.55pt;height:26.95pt;z-index:2;mso-position-horizontal-relative:page;mso-position-vertical-relative:page" stroked="f">
            <v:textbox style="mso-next-textbox:#_x0000_s6337" inset="0,0,0,0">
              <w:txbxContent>
                <w:p w:rsidR="005673AB" w:rsidRPr="00191C2A" w:rsidRDefault="005673AB">
                  <w:pPr>
                    <w:pStyle w:val="OCRStyle1"/>
                    <w:ind w:left="176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גיל הנישואין, תש"י-1950 *</w:t>
                  </w:r>
                </w:p>
              </w:txbxContent>
            </v:textbox>
            <w10:wrap anchorx="page" anchory="page"/>
          </v:shape>
        </w:pict>
      </w:r>
      <w:r>
        <w:pict>
          <v:shape id="_x0000_s6338" o:spid="_x0000_s1030" type="#_x0000_t202" style="position:absolute;left:0;text-align:left;margin-left:468.45pt;margin-top:77.45pt;width:91.85pt;height:24.95pt;z-index:1;mso-position-horizontal-relative:page;mso-position-vertical-relative:page" stroked="f">
            <v:textbox style="mso-next-textbox:#_x0000_s6338" inset="0,0,0,0">
              <w:txbxContent>
                <w:p w:rsidR="005673AB" w:rsidRDefault="005673AB">
                  <w:pPr>
                    <w:pStyle w:val="OCRStyle1"/>
                    <w:ind w:left="637"/>
                  </w:pPr>
                  <w:r>
                    <w:rPr>
                      <w:rtl/>
                    </w:rPr>
                    <w:t>מספר 00</w:t>
                  </w:r>
                </w:p>
              </w:txbxContent>
            </v:textbox>
            <w10:wrap anchorx="page" anchory="page"/>
          </v:shape>
        </w:pict>
      </w:r>
    </w:p>
    <w:p w:rsidR="005673AB" w:rsidRDefault="005673AB">
      <w:pPr>
        <w:rPr>
          <w:rtl/>
        </w:rPr>
      </w:pPr>
      <w:r>
        <w:rPr>
          <w:rtl/>
        </w:rPr>
        <w:br w:type="page"/>
      </w:r>
    </w:p>
    <w:p w:rsidR="005673AB" w:rsidRDefault="00000000">
      <w:pPr>
        <w:rPr>
          <w:rtl/>
        </w:rPr>
      </w:pPr>
      <w:r>
        <w:pict>
          <v:shape id="_x0000_s6339" o:spid="_x0000_s1031" type="#_x0000_t202" style="position:absolute;left:0;text-align:left;margin-left:50pt;margin-top:771.95pt;width:495.35pt;height:30pt;z-index:12;mso-position-horizontal-relative:page;mso-position-vertical-relative:page" stroked="f">
            <v:textbox style="mso-next-textbox:#_x0000_s6339" inset="0,0,0,0">
              <w:txbxContent>
                <w:p w:rsidR="005673AB" w:rsidRDefault="005673AB">
                  <w:r>
                    <w:rPr>
                      <w:rtl/>
                    </w:rPr>
                    <w:t>287                                          ספר החוקים 57                      כ"ו באב התש"י 09.08.1950</w:t>
                  </w:r>
                </w:p>
              </w:txbxContent>
            </v:textbox>
            <w10:wrap anchorx="page" anchory="page"/>
          </v:shape>
        </w:pict>
      </w:r>
      <w:r>
        <w:pict>
          <v:shape id="_x0000_s6340" o:spid="_x0000_s1032" type="#_x0000_t202" style="position:absolute;left:0;text-align:left;margin-left:94.85pt;margin-top:533.95pt;width:69.5pt;height:21.4pt;z-index:11;mso-position-horizontal-relative:page;mso-position-vertical-relative:page" stroked="f">
            <v:textbox style="mso-next-textbox:#_x0000_s6340" inset="0,0,0,0">
              <w:txbxContent>
                <w:p w:rsidR="005673AB" w:rsidRDefault="005673AB">
                  <w:pPr>
                    <w:pStyle w:val="OCRStyle2"/>
                    <w:ind w:left="187"/>
                  </w:pPr>
                  <w:r>
                    <w:rPr>
                      <w:rtl/>
                    </w:rPr>
                    <w:t>מספר 66</w:t>
                  </w:r>
                </w:p>
              </w:txbxContent>
            </v:textbox>
            <w10:wrap anchorx="page" anchory="page"/>
          </v:shape>
        </w:pict>
      </w:r>
      <w:r>
        <w:pict>
          <v:shape id="_x0000_s6341" o:spid="_x0000_s1033" type="#_x0000_t202" style="position:absolute;left:0;text-align:left;margin-left:408.65pt;margin-top:457.1pt;width:132.85pt;height:48.1pt;z-index:10;mso-position-horizontal-relative:page;mso-position-vertical-relative:page" stroked="f">
            <v:textbox style="mso-next-textbox:#_x0000_s6341" inset="0,0,0,0">
              <w:txbxContent>
                <w:p w:rsidR="005673AB" w:rsidRDefault="005673AB">
                  <w:pPr>
                    <w:pStyle w:val="OCRStyle2"/>
                    <w:ind w:left="403"/>
                    <w:rPr>
                      <w:rtl/>
                    </w:rPr>
                  </w:pPr>
                  <w:r>
                    <w:rPr>
                      <w:rtl/>
                    </w:rPr>
                    <w:t>יוסף שפרינצק</w:t>
                  </w:r>
                </w:p>
                <w:p w:rsidR="005673AB" w:rsidRDefault="005673AB">
                  <w:pPr>
                    <w:pStyle w:val="OCRStyle2"/>
                    <w:ind w:left="522"/>
                    <w:rPr>
                      <w:rtl/>
                    </w:rPr>
                  </w:pPr>
                  <w:r>
                    <w:rPr>
                      <w:rtl/>
                    </w:rPr>
                    <w:t>יושב ראש הכנסת</w:t>
                  </w:r>
                </w:p>
                <w:p w:rsidR="005673AB" w:rsidRDefault="005673AB">
                  <w:pPr>
                    <w:pStyle w:val="OCRStyle2"/>
                    <w:ind w:left="212"/>
                  </w:pPr>
                  <w:r>
                    <w:rPr>
                      <w:rtl/>
                    </w:rPr>
                    <w:t>ממלא מקום 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6342" o:spid="_x0000_s1034" type="#_x0000_t202" style="position:absolute;left:0;text-align:left;margin-left:163.55pt;margin-top:419.7pt;width:82.75pt;height:31.3pt;z-index:9;mso-position-horizontal-relative:page;mso-position-vertical-relative:page" stroked="f">
            <v:textbox style="mso-next-textbox:#_x0000_s6342" inset="0,0,0,0">
              <w:txbxContent>
                <w:p w:rsidR="005673AB" w:rsidRDefault="005673AB">
                  <w:pPr>
                    <w:pStyle w:val="OCRStyle2"/>
                    <w:ind w:left="122"/>
                    <w:rPr>
                      <w:rtl/>
                    </w:rPr>
                  </w:pPr>
                  <w:r>
                    <w:rPr>
                      <w:rtl/>
                    </w:rPr>
                    <w:t>פנחס רוזן</w:t>
                  </w:r>
                </w:p>
                <w:p w:rsidR="005673AB" w:rsidRDefault="005673AB">
                  <w:pPr>
                    <w:pStyle w:val="OCRStyle2"/>
                    <w:ind w:left="144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6343" o:spid="_x0000_s1035" type="#_x0000_t202" style="position:absolute;left:0;text-align:left;margin-left:264.3pt;margin-top:416.1pt;width:113.25pt;height:46.35pt;z-index:8;mso-position-horizontal-relative:page;mso-position-vertical-relative:page" stroked="f">
            <v:textbox style="mso-next-textbox:#_x0000_s6343" inset="0,0,0,0">
              <w:txbxContent>
                <w:p w:rsidR="005673AB" w:rsidRDefault="005673AB">
                  <w:pPr>
                    <w:pStyle w:val="OCRStyle2"/>
                    <w:ind w:left="198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5673AB" w:rsidRDefault="005673AB">
                  <w:pPr>
                    <w:pStyle w:val="OCRStyle2"/>
                    <w:ind w:left="41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6344" o:spid="_x0000_s1036" type="#_x0000_t202" style="position:absolute;left:0;text-align:left;margin-left:100.95pt;margin-top:71.8pt;width:441.55pt;height:329.1pt;z-index:7;mso-position-horizontal-relative:page;mso-position-vertical-relative:page" stroked="f">
            <v:textbox style="mso-next-textbox:#_x0000_s6344" inset="0,0,0,0">
              <w:txbxContent>
                <w:tbl>
                  <w:tblPr>
                    <w:tblW w:w="442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22"/>
                    <w:gridCol w:w="6905"/>
                  </w:tblGrid>
                  <w:tr w:rsidR="005673AB">
                    <w:trPr>
                      <w:jc w:val="right"/>
                    </w:trPr>
                    <w:tc>
                      <w:tcPr>
                        <w:tcW w:w="699" w:type="pct"/>
                      </w:tcPr>
                      <w:p w:rsidR="005673AB" w:rsidRDefault="005673AB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301" w:type="pct"/>
                      </w:tcPr>
                      <w:p w:rsidR="005673AB" w:rsidRDefault="005673A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אותו אדם התיר את קשר הנישואין, לפי דרישת האשה, בהתאם להוראות</w:t>
                        </w:r>
                      </w:p>
                      <w:p w:rsidR="005673AB" w:rsidRDefault="005673A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החוק החל על עניני המעמד האישי של הצדדים :</w:t>
                        </w:r>
                      </w:p>
                      <w:p w:rsidR="005673AB" w:rsidRDefault="005673A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אותו אדם קיים פסק דין להתרת קשר הנישואין, שניתן מאת בית משפט</w:t>
                        </w:r>
                      </w:p>
                      <w:p w:rsidR="005673AB" w:rsidRDefault="005673A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מאת בית דין מוסמך.</w:t>
                        </w:r>
                      </w:p>
                    </w:tc>
                  </w:tr>
                  <w:tr w:rsidR="005673AB" w:rsidRPr="005673AB">
                    <w:trPr>
                      <w:jc w:val="right"/>
                    </w:trPr>
                    <w:tc>
                      <w:tcPr>
                        <w:tcW w:w="699" w:type="pct"/>
                      </w:tcPr>
                      <w:p w:rsidR="005673AB" w:rsidRDefault="005673A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היתר נישואי</w:t>
                        </w:r>
                      </w:p>
                      <w:p w:rsidR="005673AB" w:rsidRPr="005673AB" w:rsidRDefault="005673A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נערה</w:t>
                        </w:r>
                      </w:p>
                    </w:tc>
                    <w:tc>
                      <w:tcPr>
                        <w:tcW w:w="4301" w:type="pct"/>
                      </w:tcPr>
                      <w:p w:rsidR="005673AB" w:rsidRDefault="005673A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(א) נערה שילדה לאיש או שהיא בהריונה ממנו - יכול בית המשפט המחוזי,</w:t>
                        </w:r>
                      </w:p>
                      <w:p w:rsidR="005673AB" w:rsidRDefault="005673A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שמקום מגורי הנערה הוא בתחום שיפוטו, להרשות את נישואיה לאותו איש, לפי</w:t>
                        </w:r>
                      </w:p>
                      <w:p w:rsidR="005673AB" w:rsidRDefault="005673A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בקשתה, או לפי בקשת אחד מהוריה או מאפוטרופסיה, או לפי בקשת האיש.</w:t>
                        </w:r>
                      </w:p>
                      <w:p w:rsidR="005673AB" w:rsidRDefault="005673A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נערכו נישואי נערה שהורשו לפי סעיף קטן (א) - לא יחולו- לגביהם</w:t>
                        </w:r>
                      </w:p>
                      <w:p w:rsidR="005673AB" w:rsidRPr="005673AB" w:rsidRDefault="005673A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סעיף 2.</w:t>
                        </w:r>
                      </w:p>
                    </w:tc>
                  </w:tr>
                  <w:tr w:rsidR="005673AB" w:rsidRPr="005673AB">
                    <w:trPr>
                      <w:jc w:val="right"/>
                    </w:trPr>
                    <w:tc>
                      <w:tcPr>
                        <w:tcW w:w="699" w:type="pct"/>
                      </w:tcPr>
                      <w:p w:rsidR="005673AB" w:rsidRDefault="005673A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פקודת</w:t>
                        </w:r>
                      </w:p>
                      <w:p w:rsidR="005673AB" w:rsidRDefault="005673A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החוק חפלילי,</w:t>
                        </w:r>
                      </w:p>
                      <w:p w:rsidR="005673AB" w:rsidRPr="005673AB" w:rsidRDefault="005673A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1986</w:t>
                        </w:r>
                      </w:p>
                    </w:tc>
                    <w:tc>
                      <w:tcPr>
                        <w:tcW w:w="4301" w:type="pct"/>
                      </w:tcPr>
                      <w:p w:rsidR="005673AB" w:rsidRDefault="005673A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פקודת החוק הפלילי, 1936 ,1 תתוקן כך:</w:t>
                        </w:r>
                      </w:p>
                      <w:p w:rsidR="005673AB" w:rsidRDefault="005673A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בסעיף 182 -</w:t>
                        </w:r>
                      </w:p>
                      <w:p w:rsidR="005673AB" w:rsidRDefault="005673A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הנקודותיים והמקף אחרי המלים "כל אדם" - יימחקו ו</w:t>
                        </w:r>
                      </w:p>
                      <w:p w:rsidR="005673AB" w:rsidRDefault="005673A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הסימן "(א)" בראשית פסקה (א) - יימחק:</w:t>
                        </w:r>
                      </w:p>
                      <w:p w:rsidR="005673AB" w:rsidRDefault="005673A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במקום הנקודה-פסיק והמלה "או" בסוף פסקה (א) יבוא פסיק :</w:t>
                        </w:r>
                      </w:p>
                      <w:p w:rsidR="005673AB" w:rsidRDefault="005673A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פסקות (ב) ו-(ג) - בטלות :</w:t>
                        </w:r>
                      </w:p>
                      <w:p w:rsidR="005673AB" w:rsidRPr="005673AB" w:rsidRDefault="005673A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סעיף 183 - בטל.</w:t>
                        </w:r>
                      </w:p>
                    </w:tc>
                  </w:tr>
                  <w:tr w:rsidR="005673AB" w:rsidRPr="005673AB">
                    <w:trPr>
                      <w:jc w:val="right"/>
                    </w:trPr>
                    <w:tc>
                      <w:tcPr>
                        <w:tcW w:w="699" w:type="pct"/>
                      </w:tcPr>
                      <w:p w:rsidR="005673AB" w:rsidRPr="005673AB" w:rsidRDefault="005673A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</w:t>
                        </w:r>
                      </w:p>
                    </w:tc>
                    <w:tc>
                      <w:tcPr>
                        <w:tcW w:w="4301" w:type="pct"/>
                      </w:tcPr>
                      <w:p w:rsidR="005673AB" w:rsidRPr="005673AB" w:rsidRDefault="005673A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שר המשפטים ממונה על ביצוע חוק זה.</w:t>
                        </w:r>
                      </w:p>
                    </w:tc>
                  </w:tr>
                </w:tbl>
                <w:p w:rsidR="005673AB" w:rsidRDefault="005673AB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191C2A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91C2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0E1D3337-3C87-47B4-877F-1A2B0B980C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191C2A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5673AB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15</Characters>
  <Application>Microsoft Office Word</Application>
  <DocSecurity>4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3</cp:revision>
  <dcterms:created xsi:type="dcterms:W3CDTF">2008-04-06T17:56:00Z</dcterms:created>
  <dcterms:modified xsi:type="dcterms:W3CDTF">2008-04-06T17:56:00Z</dcterms:modified>
</cp:coreProperties>
</file>