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04F3" w:rsidRDefault="008C04F3">
      <w:pPr>
        <w:rPr>
          <w:rtl/>
        </w:rPr>
      </w:pPr>
    </w:p>
    <w:p w:rsidR="008C04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39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394" inset="0,0,0,0">
              <w:txbxContent>
                <w:p w:rsidR="00D15A71" w:rsidRDefault="00D15A71">
                  <w:r>
                    <w:rPr>
                      <w:rtl/>
                    </w:rPr>
                    <w:t>80                                           ספר החוקים 335                  י"ח בניסן התשכ"א 04.04.1961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6395" o:spid="_x0000_s1026" type="#_x0000_t202" style="position:absolute;left:0;text-align:left;margin-left:77.75pt;margin-top:659.05pt;width:405.5pt;height:100.6pt;z-index:3;mso-position-horizontal-relative:page;mso-position-vertical-relative:page" stroked="f">
            <v:textbox style="mso-next-textbox:#_x0000_s6395" inset="0,0,0,0">
              <w:txbxContent>
                <w:p w:rsidR="00D15A71" w:rsidRDefault="00D15A71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תשכ"א (27 במרס 1961); הצעת החוק ודברי הסבר נתפרסמו בה"ת 14)4, תשכ"א,</w:t>
                  </w:r>
                </w:p>
                <w:p w:rsidR="00D15A71" w:rsidRDefault="00D15A71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עמ' 214.</w:t>
                  </w:r>
                </w:p>
                <w:p w:rsidR="00D15A71" w:rsidRDefault="00D15A71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 ס"ח 251, תשי"ח, עמ' 116.</w:t>
                  </w:r>
                </w:p>
                <w:p w:rsidR="00D15A71" w:rsidRDefault="00D15A71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2 ס"ח 10, תש"ט, עמ' .41</w:t>
                  </w:r>
                </w:p>
                <w:p w:rsidR="00D15A71" w:rsidRPr="008C04F3" w:rsidRDefault="00D15A71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3 "חס 234, תשי"ז, עמ' .168</w:t>
                  </w:r>
                </w:p>
              </w:txbxContent>
            </v:textbox>
            <w10:wrap anchorx="page" anchory="page"/>
          </v:shape>
        </w:pict>
      </w:r>
      <w:r>
        <w:pict>
          <v:shape id="_x0000_s6396" o:spid="_x0000_s1027" type="#_x0000_t202" style="position:absolute;left:0;text-align:left;margin-left:82.9pt;margin-top:120.9pt;width:478.55pt;height:534.6pt;z-index:2;mso-position-horizontal-relative:page;mso-position-vertical-relative:page" stroked="f">
            <v:textbox style="mso-next-textbox:#_x0000_s639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0"/>
                    <w:gridCol w:w="1482"/>
                    <w:gridCol w:w="1498"/>
                  </w:tblGrid>
                  <w:tr w:rsidR="00D15A71" w:rsidRPr="008C04F3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15A71" w:rsidRDefault="00D15A7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גימלאות לחברי הכנסת, תשי"ח-1958  1(להלן - החוק העיקרי),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הגדרת "משכורת חברי הכנסת" תבוא הגדרה זו: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""משכורת חברי הכנסת" לענין קיצבה לפי חוק זה - משכורת היסוד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החדשית המשתלמת מזמן לזמן לרוב חברי הכנסת לפי סעיף 2 של חוק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חברי הכנסת, תש"ט-21949, על תוספותיה המשתלמות לפי הסעיפים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ו-3א לחוק האמור לחברי הכנסת, שהרכב משפחתם כהרכב משפחתו</w:t>
                        </w:r>
                      </w:p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הכנסת שחדל לכהן."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D15A71" w:rsidRPr="008C04F3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 לחוק העיקרי יבוא: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D15A71">
                    <w:trPr>
                      <w:jc w:val="right"/>
                    </w:trPr>
                    <w:tc>
                      <w:tcPr>
                        <w:tcW w:w="3287" w:type="pct"/>
                      </w:tcPr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חבר הכנסת שחדל לכהן אחרי שהגיע לגיל ארבעים וחמש וכיהן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 לפחות, או אחרי שהגיע לגיל חמישים וכיהן שש שנים לפחות,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לו מהיום שחדל לכהן וכל ימי חייו, קיצבה חדשות שהיא שליש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האחוז ממשכורת חברי הכנסת כפול במספר חדשי כהונתו בכנסת,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-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שמלאו לו חמישים וחמש שנה בשעת חדלו לכהן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תינתן לו תוספת על הקיצבה שני אחוזים ממשכורת חברי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לכל שנת גילו שלמעלה מחמישים וחמש בשעה שחדל;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הקיצבה למי שהיה חבר הכנסת יותר מעשר שנים לא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תפחת מ-50% ממשכורת חברי הכנסת:</w:t>
                        </w:r>
                      </w:p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תעלה הקיצבה על 70% ממשכורת חברי הכנסת."</w:t>
                        </w:r>
                      </w:p>
                    </w:tc>
                    <w:tc>
                      <w:tcPr>
                        <w:tcW w:w="852" w:type="pct"/>
                      </w:tcPr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 לחבר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שחדל</w:t>
                        </w:r>
                      </w:p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לכהן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15A71" w:rsidRPr="008C04F3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4 לחוק העיקרי יבוא: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D15A71">
                    <w:trPr>
                      <w:jc w:val="right"/>
                    </w:trPr>
                    <w:tc>
                      <w:tcPr>
                        <w:tcW w:w="3287" w:type="pct"/>
                      </w:tcPr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לגבי חברת הכנסת יבוא לענין הסעיפים 2 ו-3 "ארבעים" במקום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"ארבעים וחמש"' "ארבעים וחמש" במקום "חמישים", "חמישים" במקום</w:t>
                        </w:r>
                      </w:p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"חמישים וחמש", ו"ששים וחמש" במקום "שבעים וחמש".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 לחברות</w:t>
                        </w:r>
                      </w:p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15A71" w:rsidRPr="008C04F3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אחרי סעיף 5 לחוק העיקרי יבוא: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D15A71">
                    <w:trPr>
                      <w:jc w:val="right"/>
                    </w:trPr>
                    <w:tc>
                      <w:tcPr>
                        <w:tcW w:w="3287" w:type="pct"/>
                      </w:tcPr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בחישוב שנת גיל לענין הסעיפים 4-2 יראו עודף של שיה העולה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180 יום כשנה, ואילו עודף שנה שאינו עולה על 180 יום לא יובא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בחשבון."</w:t>
                        </w:r>
                      </w:p>
                    </w:tc>
                    <w:tc>
                      <w:tcPr>
                        <w:tcW w:w="852" w:type="pct"/>
                      </w:tcPr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''חישוב שנת גיל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15A71" w:rsidRPr="008C04F3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6 לחוק העיקרי יבוא: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D15A71">
                    <w:trPr>
                      <w:jc w:val="right"/>
                    </w:trPr>
                    <w:tc>
                      <w:tcPr>
                        <w:tcW w:w="3287" w:type="pct"/>
                      </w:tcPr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חבר הכנסת שהיה יושב ראש הכנסת, זכאי, לגבי תקופת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 כיושב ראש הכנסת, לגימלאות לפי חוק הגימלאות לשרים,</w:t>
                        </w:r>
                      </w:p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תשי"ז-31957, כאילו היה שר, וכן זכאים שאיריו.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/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"גימלאות</w:t>
                        </w:r>
                      </w:p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</w:t>
                        </w:r>
                      </w:p>
                      <w:p w:rsidR="00D15A71" w:rsidRPr="008C04F3" w:rsidRDefault="00D15A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15A71" w:rsidRDefault="00D15A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15A71" w:rsidRDefault="00D15A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397" o:spid="_x0000_s1028" type="#_x0000_t202" style="position:absolute;left:0;text-align:left;margin-left:135.35pt;margin-top:86.45pt;width:291.85pt;height:27.7pt;z-index:1;mso-position-horizontal-relative:page;mso-position-vertical-relative:page" stroked="f">
            <v:textbox style="mso-next-textbox:#_x0000_s6397" inset="0,0,0,0">
              <w:txbxContent>
                <w:p w:rsidR="00D15A71" w:rsidRPr="008C04F3" w:rsidRDefault="00D15A71">
                  <w:pPr>
                    <w:pStyle w:val="OCRStyle1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גימלאות לחברי הכנסת (תיקון), תשכ"א-1961 *</w:t>
                  </w:r>
                </w:p>
              </w:txbxContent>
            </v:textbox>
            <w10:wrap anchorx="page" anchory="page"/>
          </v:shape>
        </w:pict>
      </w:r>
    </w:p>
    <w:p w:rsidR="00D15A71" w:rsidRDefault="00D15A71">
      <w:pPr>
        <w:rPr>
          <w:rtl/>
        </w:rPr>
      </w:pPr>
      <w:r>
        <w:rPr>
          <w:rtl/>
        </w:rPr>
        <w:br w:type="page"/>
      </w:r>
    </w:p>
    <w:p w:rsidR="00D15A71" w:rsidRDefault="00000000">
      <w:pPr>
        <w:rPr>
          <w:rtl/>
        </w:rPr>
      </w:pPr>
      <w:r>
        <w:pict>
          <v:shape id="_x0000_s6398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6398" inset="0,0,0,0">
              <w:txbxContent>
                <w:p w:rsidR="00D15A71" w:rsidRDefault="00D15A71">
                  <w:r>
                    <w:rPr>
                      <w:rtl/>
                    </w:rPr>
                    <w:t>81                                           ספר החוקים 335                  י"ח בניסן התשכ"א 04.04.1961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6399" o:spid="_x0000_s1030" type="#_x0000_t202" style="position:absolute;left:0;text-align:left;margin-left:381.85pt;margin-top:693.85pt;width:175.65pt;height:54.25pt;z-index:8;mso-position-horizontal-relative:page;mso-position-vertical-relative:page" stroked="f">
            <v:textbox style="mso-next-textbox:#_x0000_s6399" inset="0,0,0,0">
              <w:txbxContent>
                <w:p w:rsidR="00D15A71" w:rsidRDefault="00D15A71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ס"ח 188, תשט"ו, עמ' 133.</w:t>
                  </w:r>
                </w:p>
                <w:p w:rsidR="00D15A71" w:rsidRPr="00D15A71" w:rsidRDefault="00D15A71">
                  <w:pPr>
                    <w:pStyle w:val="OCRStyle2"/>
                    <w:ind w:left="590"/>
                  </w:pPr>
                  <w:r>
                    <w:rPr>
                      <w:rtl/>
                    </w:rPr>
                    <w:t>ו י</w:t>
                  </w:r>
                </w:p>
              </w:txbxContent>
            </v:textbox>
            <w10:wrap anchorx="page" anchory="page"/>
          </v:shape>
        </w:pict>
      </w:r>
      <w:r>
        <w:pict>
          <v:shape id="_x0000_s6400" o:spid="_x0000_s1031" type="#_x0000_t202" style="position:absolute;left:0;text-align:left;margin-left:178.7pt;margin-top:623.75pt;width:110.3pt;height:34.45pt;z-index:7;mso-position-horizontal-relative:page;mso-position-vertical-relative:page" stroked="f">
            <v:textbox style="mso-next-textbox:#_x0000_s6400" inset="0,0,0,0">
              <w:txbxContent>
                <w:p w:rsidR="00D15A71" w:rsidRDefault="00D15A71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15A71" w:rsidRDefault="00D15A71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01" o:spid="_x0000_s1032" type="#_x0000_t202" style="position:absolute;left:0;text-align:left;margin-left:451.55pt;margin-top:647.1pt;width:103.35pt;height:41.4pt;z-index:6;mso-position-horizontal-relative:page;mso-position-vertical-relative:page" stroked="f">
            <v:textbox style="mso-next-textbox:#_x0000_s6401" inset="0,0,0,0">
              <w:txbxContent>
                <w:p w:rsidR="00D15A71" w:rsidRDefault="00D15A71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15A71" w:rsidRDefault="00D15A71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02" o:spid="_x0000_s1033" type="#_x0000_t202" style="position:absolute;left:0;text-align:left;margin-left:92.6pt;margin-top:66pt;width:469.25pt;height:552.6pt;z-index:5;mso-position-horizontal-relative:page;mso-position-vertical-relative:page" stroked="f">
            <v:textbox style="mso-next-textbox:#_x0000_s640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6"/>
                    <w:gridCol w:w="5593"/>
                    <w:gridCol w:w="1512"/>
                  </w:tblGrid>
                  <w:tr w:rsidR="00D15A7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(א)' בכל מקום בחוק גימלאות לשרים,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תשי"ז-1957, שנאמר בו "שר" חוץ מן הביטוי "משכורת שרים" קרי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"יושב ראש הכנסת",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הכהונה כיושב ראש הכנסת המזכה לגימלה לפי סעיף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תבוא במנין לגבי חישוב שיעור הגימלה לענין חוק זה."</w:t>
                        </w:r>
                      </w:p>
                    </w:tc>
                  </w:tr>
                  <w:tr w:rsidR="00D15A71" w:rsidRPr="00D15A7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D15A71" w:rsidRP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11</w:t>
                        </w: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D15A71" w:rsidRP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 במקום סעיף 11 לחוק העיקרי יבוא:</w:t>
                        </w:r>
                      </w:p>
                    </w:tc>
                  </w:tr>
                  <w:tr w:rsidR="00D15A71" w:rsidRPr="00D15A7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8" w:type="pct"/>
                      </w:tcPr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חבר הכנסת שנפטר לאחר שכיהן ארבע שנים לפחות ופחות משש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יראוהו לענין הסעיפים 9 ו-10 כאילו כיהן שש שנים והוא זכאי לקיצבה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2, ואם לא הגיע בשעת פטירתו לגיל חמישים יראוהו לענין זה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הגיע לגיל חמישים."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"גימלאות לשאירי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שנפטר לאחר</w:t>
                        </w:r>
                      </w:p>
                      <w:p w:rsidR="00D15A71" w:rsidRP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שנות כהונה</w:t>
                        </w:r>
                      </w:p>
                    </w:tc>
                  </w:tr>
                  <w:tr w:rsidR="00D15A71" w:rsidRPr="00D15A7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D15A71" w:rsidRP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D15A71" w:rsidRP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14 לחוק העיקרי יימחקו המלים "או קיצבה".</w:t>
                        </w:r>
                      </w:p>
                    </w:tc>
                  </w:tr>
                  <w:tr w:rsidR="00D15A71" w:rsidRPr="00D15A7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D15A71" w:rsidRP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11א</w:t>
                        </w: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D15A71" w:rsidRP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לאחר סעיף 14 לחוק העיקרי יבוא:</w:t>
                        </w:r>
                      </w:p>
                    </w:tc>
                  </w:tr>
                  <w:tr w:rsidR="00D15A71" w:rsidRPr="00D15A7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8" w:type="pct"/>
                      </w:tcPr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(א) בעל קיצבה לפי הסעיפים 2' 3 או 4 שיש לו הכנסה מקיצבה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לפי חוק זה' המשתלמת מאוצר המדינה או מקופה שנקבעה כקופה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 לענין סעיף 28 לחוק שירות המדינה (גימלאות)' תשט"ו-1955 4,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וסך הקיצבאות עודף על 70% מהמשכורת הגבוהה ביותר המשמשת בסיס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לחישוב אחת מהן, תופחת הקיצבה שהוא זכאי לה לפי חוק זה בסכום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העודף.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חוק אחר' אם היה בעל קיצבה לפי חוק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זכאי לקיצבה מופחתת לפי חוק אחר בשל קיצבה לפי חוק זה, תהיה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הפחתתה של כל קיצבה בסכום שיחסו לכלל הסכום שיש להפחית' אילו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ההפחתה נעשית על פי הוראות סעיף קטן (א)' כיחס של כל קיצבה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וקיצבה אל סכומן הכולל של כל הקיצבאות לפני ההפחתה.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 גם על בעל קיצבה לפי הסעיף 9' 11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12 הזכאי לקיצבה ממקום אחר' בשינויים המחוייבים לפי הענין."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"הפחתת קיצבה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קיצבה</w:t>
                        </w:r>
                      </w:p>
                      <w:p w:rsidR="00D15A71" w:rsidRP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ממקום אחר</w:t>
                        </w:r>
                      </w:p>
                    </w:tc>
                  </w:tr>
                  <w:tr w:rsidR="00D15A71" w:rsidRPr="00D15A7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D15A71" w:rsidRP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.בסעיף 17 לחוק העיקרי. במקום "חבר כנסת שנפטר" יבוא:</w:t>
                        </w:r>
                      </w:p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 כנסת או חבר כנסת שחדל לכהן לפני תחילת חוק זה שנפטרו"</w:t>
                        </w:r>
                      </w:p>
                      <w:p w:rsidR="00D15A71" w:rsidRP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"שאיריו" יבוא "שאיריהם".</w:t>
                        </w:r>
                      </w:p>
                    </w:tc>
                  </w:tr>
                  <w:tr w:rsidR="00D15A71" w:rsidRPr="00D15A7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D15A71" w:rsidRP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תחילתו של חוק זה, פרט לסעיף 9' ביום ד' בניסן תש"ך (1 באפריל 1960),</w:t>
                        </w:r>
                      </w:p>
                      <w:p w:rsidR="00D15A71" w:rsidRPr="00D15A71" w:rsidRDefault="00D15A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9 לחוק זה ביום תחילת החוק העיקרי.</w:t>
                        </w:r>
                      </w:p>
                    </w:tc>
                  </w:tr>
                </w:tbl>
                <w:p w:rsidR="00D15A71" w:rsidRDefault="00D15A7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04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59318A-1EC1-4ADC-88A4-8F209750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04F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15A7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2008-04-06T19:41:00Z</dcterms:created>
  <dcterms:modified xsi:type="dcterms:W3CDTF">2008-04-06T19:41:00Z</dcterms:modified>
</cp:coreProperties>
</file>