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58F7" w:rsidRDefault="00C858F7">
      <w:pPr>
        <w:rPr>
          <w:rtl/>
        </w:rPr>
      </w:pPr>
    </w:p>
    <w:p w:rsidR="00C858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44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443" inset="0,0,0,0">
              <w:txbxContent>
                <w:p w:rsidR="00886407" w:rsidRDefault="00886407">
                  <w:r>
                    <w:rPr>
                      <w:rtl/>
                    </w:rPr>
                    <w:t>98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6444" o:spid="_x0000_s1026" type="#_x0000_t202" style="position:absolute;left:0;text-align:left;margin-left:98.3pt;margin-top:723.75pt;width:159.2pt;height:29.3pt;z-index:6;mso-position-horizontal-relative:page;mso-position-vertical-relative:page" stroked="f">
            <v:textbox style="mso-next-textbox:#_x0000_s6444" inset="0,0,0,0">
              <w:txbxContent>
                <w:p w:rsidR="00886407" w:rsidRDefault="008864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45" o:spid="_x0000_s1027" type="#_x0000_t202" style="position:absolute;left:0;text-align:left;margin-left:222.25pt;margin-top:682.35pt;width:86.9pt;height:35.45pt;z-index:5;mso-position-horizontal-relative:page;mso-position-vertical-relative:page" stroked="f">
            <v:textbox style="mso-next-textbox:#_x0000_s6445" inset="0,0,0,0">
              <w:txbxContent>
                <w:p w:rsidR="00886407" w:rsidRDefault="00886407">
                  <w:pPr>
                    <w:pStyle w:val="OCRStyle1"/>
                    <w:ind w:left="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תשי"ח, עמ' 69.</w:t>
                  </w:r>
                </w:p>
                <w:p w:rsidR="00886407" w:rsidRDefault="00886407">
                  <w:pPr>
                    <w:pStyle w:val="OCRStyle1"/>
                    <w:ind w:left="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תשי"ח, עמ' .92</w:t>
                  </w:r>
                </w:p>
                <w:p w:rsidR="00886407" w:rsidRPr="00C858F7" w:rsidRDefault="00886407">
                  <w:pPr>
                    <w:pStyle w:val="OCRStyle1"/>
                    <w:ind w:left="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תשי"ג, עמ' ,149</w:t>
                  </w:r>
                </w:p>
              </w:txbxContent>
            </v:textbox>
            <w10:wrap anchorx="page" anchory="page"/>
          </v:shape>
        </w:pict>
      </w:r>
      <w:r>
        <w:pict>
          <v:shape id="_x0000_s6446" o:spid="_x0000_s1028" type="#_x0000_t202" style="position:absolute;left:0;text-align:left;margin-left:373.75pt;margin-top:683.35pt;width:95.65pt;height:37.05pt;z-index:4;mso-position-horizontal-relative:page;mso-position-vertical-relative:page" stroked="f">
            <v:textbox style="mso-next-textbox:#_x0000_s6446" inset="0,0,0,0">
              <w:txbxContent>
                <w:p w:rsidR="00886407" w:rsidRDefault="00886407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תשט''ו, עמ' 135.</w:t>
                  </w:r>
                </w:p>
                <w:p w:rsidR="00886407" w:rsidRDefault="00886407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תשי"ז, עמ' .168</w:t>
                  </w:r>
                </w:p>
                <w:p w:rsidR="00886407" w:rsidRPr="00C858F7" w:rsidRDefault="00886407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תשי"ח, עמ' ,116</w:t>
                  </w:r>
                </w:p>
              </w:txbxContent>
            </v:textbox>
            <w10:wrap anchorx="page" anchory="page"/>
          </v:shape>
        </w:pict>
      </w:r>
      <w:r>
        <w:pict>
          <v:shape id="_x0000_s6447" o:spid="_x0000_s1029" type="#_x0000_t202" style="position:absolute;left:0;text-align:left;margin-left:94.95pt;margin-top:661pt;width:374.4pt;height:21.4pt;z-index:3;mso-position-horizontal-relative:page;mso-position-vertical-relative:page" stroked="f">
            <v:textbox style="mso-next-textbox:#_x0000_s6447" inset="0,0,0,0">
              <w:txbxContent>
                <w:p w:rsidR="00886407" w:rsidRDefault="00886407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תשכ"ט (26 במרס 1969); הצעת החוק ודברי הסבר פורסמו בה"ח 824/ תשכ"ט,</w:t>
                  </w:r>
                </w:p>
                <w:p w:rsidR="00886407" w:rsidRPr="00C858F7" w:rsidRDefault="00886407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448" o:spid="_x0000_s1030" type="#_x0000_t202" style="position:absolute;left:0;text-align:left;margin-left:92.4pt;margin-top:113.3pt;width:463.1pt;height:545.9pt;z-index:2;mso-position-horizontal-relative:page;mso-position-vertical-relative:page" stroked="f">
            <v:textbox style="mso-next-textbox:#_x0000_s64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2"/>
                    <w:gridCol w:w="1390"/>
                  </w:tblGrid>
                  <w:tr w:rsidR="00886407" w:rsidRPr="00C858F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886407" w:rsidRDefault="0088640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.לנושאי המשרה המפורטים בתוספת ולשאיריהם ישולמו, מאוצר המדינה, גמלאות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אחרים נוספים כפי שייקבע בהחלטות הכנסת והיא רשאית להסמיך לכך ועדה</w:t>
                        </w:r>
                      </w:p>
                      <w:p w:rsidR="00886407" w:rsidRPr="00C858F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מועדותיה.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8640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גמלאות</w:t>
                        </w:r>
                      </w:p>
                      <w:p w:rsidR="00886407" w:rsidRPr="00C858F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ותשלומים אחרים</w:t>
                        </w:r>
                      </w:p>
                    </w:tc>
                  </w:tr>
                  <w:tr w:rsidR="00886407" w:rsidRPr="00C858F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88640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בהחלטה לפי סעיף 1 מותר לקבוע כי -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לנושאי המשרה או לשאירים יינתנו, בנוסף לגמלאות ולתשלומים האחרים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לאחר תקופת הכהונה, גם טובת הנאה או שירות שייקבעו: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לגמלאות, לתשלומים אחרים, לטובת הנאה או לשירות ושיעוריהם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בהתחשב בתפקיד שמילא נושא המשרה, בדרגתו, בתקופת שירותו, או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גורם אחר שייקבע;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מותר, בתנאים שייקבעו, להוון אותו חלק מהגמלאות, כפי שייקבע,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המגיעות לזכאי;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לצורך חישוב הזכות לגמלה ושיעורה מותר לצרף לתקופת הכהונה באותה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תקופת כהונה קודמת אחרת, כולה או מקצתה, במדינה או באחד ממוס-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דותיה או מפעליה, או במוסדות ציבור אחרים שייקבעו, והכל בתנאים שייקבעו;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מגמלה המשתלמת ינוכו סכומים שהזכאי לגמלה מקבל כמשכורת או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כגמלה מקופה ציבורית כמשמעותה בסעיף 28 לחוק שירות המדינה (גמלאות),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תשט"ו-11955;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הגמלה המשתלמת לשאירים שאינם סמוכים על שולחן אחד תחולק בדרך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שתיקבע;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התשלומים, טובת ההנאה או השירות יהיו פטורים כולם או מקצתם ממס</w:t>
                        </w:r>
                      </w:p>
                      <w:p w:rsidR="00886407" w:rsidRPr="00C858F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ההכנסה.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8640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טובות הנאה אחרות</w:t>
                        </w:r>
                      </w:p>
                      <w:p w:rsidR="00886407" w:rsidRPr="00C858F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והיוון</w:t>
                        </w:r>
                      </w:p>
                    </w:tc>
                  </w:tr>
                  <w:tr w:rsidR="00886407" w:rsidRPr="00C858F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88640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הכנסת רשאית בהחלטה להוסיף על נושאי המשרות המפורטים בתוספת או לגרוע</w:t>
                        </w:r>
                      </w:p>
                      <w:p w:rsidR="00886407" w:rsidRPr="00C858F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86407" w:rsidRPr="00C858F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שיגוי התוספת</w:t>
                        </w:r>
                      </w:p>
                    </w:tc>
                  </w:tr>
                  <w:tr w:rsidR="00886407" w:rsidRPr="00C858F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886407" w:rsidRPr="00C858F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החלטות לפי סעיפים 1 ו-3 יפורסמו ברשומות.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86407" w:rsidRPr="00C858F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החלטות</w:t>
                        </w:r>
                      </w:p>
                    </w:tc>
                  </w:tr>
                  <w:tr w:rsidR="00886407" w:rsidRPr="00C858F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88640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בטלים -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 גמלאות לשרים, תשי"ז-1957 2:</w:t>
                        </w:r>
                      </w:p>
                      <w:p w:rsidR="00886407" w:rsidRPr="00C858F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גמלאות לחברי הכנסת, תשי"ח-31958.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86407" w:rsidRPr="00C858F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886407" w:rsidRPr="00C858F7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88640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כסעיף 16 לחוק-יסוד: נשיא המדינה 4 יימחקו המלים "או אחריה, לרבות אלה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לשאיריו".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4א לחוק מבקר המדינה, תשי"ח-1958 ננוסח משולב]5, יימחקו המלים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אחריה, לרבות אלה שישולמו לשאיריו לאחר מותו".</w:t>
                        </w:r>
                      </w:p>
                      <w:p w:rsidR="0088640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18 לחוק השופטים, תשי"ג-1953, 6 יימחקו המלים "או אחריה/ לרבות</w:t>
                        </w:r>
                      </w:p>
                      <w:p w:rsidR="00886407" w:rsidRPr="00C858F7" w:rsidRDefault="008864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שישולמו לתלויים לאחר מותו".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886407" w:rsidRPr="00C858F7" w:rsidRDefault="008864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חוקים שוגים</w:t>
                        </w:r>
                      </w:p>
                    </w:tc>
                  </w:tr>
                </w:tbl>
                <w:p w:rsidR="00886407" w:rsidRDefault="008864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49" o:spid="_x0000_s1031" type="#_x0000_t202" style="position:absolute;left:0;text-align:left;margin-left:122.45pt;margin-top:78.05pt;width:331.45pt;height:31.1pt;z-index:1;mso-position-horizontal-relative:page;mso-position-vertical-relative:page" stroked="f">
            <v:textbox style="mso-next-textbox:#_x0000_s6449" inset="0,0,0,0">
              <w:txbxContent>
                <w:p w:rsidR="00886407" w:rsidRPr="00C858F7" w:rsidRDefault="00886407">
                  <w:pPr>
                    <w:pStyle w:val="OCRStyle1"/>
                    <w:ind w:left="1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גמלאות לנושאי-משרה ברשויות השלטון, תשכ"ט-1969 *</w:t>
                  </w:r>
                </w:p>
              </w:txbxContent>
            </v:textbox>
            <w10:wrap anchorx="page" anchory="page"/>
          </v:shape>
        </w:pict>
      </w:r>
    </w:p>
    <w:p w:rsidR="00886407" w:rsidRDefault="00886407">
      <w:pPr>
        <w:rPr>
          <w:rtl/>
        </w:rPr>
      </w:pPr>
      <w:r>
        <w:rPr>
          <w:rtl/>
        </w:rPr>
        <w:br w:type="page"/>
      </w:r>
    </w:p>
    <w:p w:rsidR="00886407" w:rsidRDefault="00000000">
      <w:pPr>
        <w:rPr>
          <w:rtl/>
        </w:rPr>
      </w:pPr>
      <w:r>
        <w:pict>
          <v:shape id="_x0000_s6450" o:spid="_x0000_s1032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6450" inset="0,0,0,0">
              <w:txbxContent>
                <w:p w:rsidR="00886407" w:rsidRDefault="00886407">
                  <w:r>
                    <w:rPr>
                      <w:rtl/>
                    </w:rPr>
                    <w:t>99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6451" o:spid="_x0000_s1033" type="#_x0000_t202" style="position:absolute;left:0;text-align:left;margin-left:385.6pt;margin-top:729.15pt;width:162.75pt;height:25.75pt;z-index:16;mso-position-horizontal-relative:page;mso-position-vertical-relative:page" stroked="f">
            <v:textbox style="mso-next-textbox:#_x0000_s6451" inset="0,0,0,0">
              <w:txbxContent>
                <w:p w:rsidR="00886407" w:rsidRDefault="008864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452" o:spid="_x0000_s1034" type="#_x0000_t202" style="position:absolute;left:0;text-align:left;margin-left:280.7pt;margin-top:680.85pt;width:102.35pt;height:37.8pt;z-index:15;mso-position-horizontal-relative:page;mso-position-vertical-relative:page" stroked="f">
            <v:textbox style="mso-next-textbox:#_x0000_s6452" inset="0,0,0,0">
              <w:txbxContent>
                <w:p w:rsidR="00886407" w:rsidRDefault="00886407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10 ס"ח תשי"ד, עמ' 192.</w:t>
                  </w:r>
                </w:p>
                <w:p w:rsidR="00886407" w:rsidRPr="00886407" w:rsidRDefault="00886407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11 ס"ח תשי''א,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6453" o:spid="_x0000_s1035" type="#_x0000_t202" style="position:absolute;left:0;text-align:left;margin-left:439.85pt;margin-top:686pt;width:92.85pt;height:38.8pt;z-index:14;mso-position-horizontal-relative:page;mso-position-vertical-relative:page" stroked="f">
            <v:textbox style="mso-next-textbox:#_x0000_s6453" inset="0,0,0,0">
              <w:txbxContent>
                <w:p w:rsidR="00886407" w:rsidRDefault="0088640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7 ס"ח תשט"ו, עמ' 68.</w:t>
                  </w:r>
                </w:p>
                <w:p w:rsidR="00886407" w:rsidRDefault="00886407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8 ס"ח תשכ"א, עמ' .118</w:t>
                  </w:r>
                </w:p>
                <w:p w:rsidR="00886407" w:rsidRPr="00886407" w:rsidRDefault="00886407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9 ס"ח תשכ"ג,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6454" o:spid="_x0000_s1036" type="#_x0000_t202" style="position:absolute;left:0;text-align:left;margin-left:199.7pt;margin-top:608.6pt;width:95.45pt;height:43.95pt;z-index:13;mso-position-horizontal-relative:page;mso-position-vertical-relative:page" stroked="f">
            <v:textbox style="mso-next-textbox:#_x0000_s6454" inset="0,0,0,0">
              <w:txbxContent>
                <w:p w:rsidR="00886407" w:rsidRDefault="00886407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86407" w:rsidRDefault="00886407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55" o:spid="_x0000_s1037" type="#_x0000_t202" style="position:absolute;left:0;text-align:left;margin-left:395.9pt;margin-top:633.55pt;width:133.45pt;height:37.05pt;z-index:12;mso-position-horizontal-relative:page;mso-position-vertical-relative:page" stroked="f">
            <v:textbox style="mso-next-textbox:#_x0000_s6455" inset="0,0,0,0">
              <w:txbxContent>
                <w:p w:rsidR="00886407" w:rsidRDefault="00886407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886407" w:rsidRDefault="00886407">
                  <w:pPr>
                    <w:pStyle w:val="OCRStyle2"/>
                    <w:ind w:left="7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56" o:spid="_x0000_s1038" type="#_x0000_t202" style="position:absolute;left:0;text-align:left;margin-left:189.4pt;margin-top:512.95pt;width:130.9pt;height:81.75pt;z-index:11;mso-position-horizontal-relative:page;mso-position-vertical-relative:page" stroked="f">
            <v:textbox style="mso-next-textbox:#_x0000_s6456" inset="0,0,0,0">
              <w:txbxContent>
                <w:p w:rsidR="00886407" w:rsidRDefault="0088640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מבקר המדינה</w:t>
                  </w:r>
                </w:p>
                <w:p w:rsidR="00886407" w:rsidRDefault="0088640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נגיד בנק ישראל ומשנהו</w:t>
                  </w:r>
                </w:p>
                <w:p w:rsidR="00886407" w:rsidRDefault="0088640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דיין</w:t>
                  </w:r>
                </w:p>
                <w:p w:rsidR="00886407" w:rsidRDefault="0088640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קאדי</w:t>
                  </w:r>
                </w:p>
                <w:p w:rsidR="00886407" w:rsidRDefault="00886407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קאדי מד'הב</w:t>
                  </w:r>
                </w:p>
              </w:txbxContent>
            </v:textbox>
            <w10:wrap anchorx="page" anchory="page"/>
          </v:shape>
        </w:pict>
      </w:r>
      <w:r>
        <w:pict>
          <v:shape id="_x0000_s6457" o:spid="_x0000_s1039" type="#_x0000_t202" style="position:absolute;left:0;text-align:left;margin-left:397.7pt;margin-top:512.95pt;width:80pt;height:86.9pt;z-index:10;mso-position-horizontal-relative:page;mso-position-vertical-relative:page" stroked="f">
            <v:textbox style="mso-next-textbox:#_x0000_s6457" inset="0,0,0,0">
              <w:txbxContent>
                <w:p w:rsidR="00886407" w:rsidRDefault="00886407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886407" w:rsidRDefault="00886407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שר</w:t>
                  </w:r>
                </w:p>
                <w:p w:rsidR="00886407" w:rsidRDefault="00886407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חבר הכנסת</w:t>
                  </w:r>
                </w:p>
                <w:p w:rsidR="00886407" w:rsidRDefault="00886407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שופט</w:t>
                  </w:r>
                </w:p>
                <w:p w:rsidR="00886407" w:rsidRDefault="00886407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רכ ראשי</w:t>
                  </w:r>
                </w:p>
              </w:txbxContent>
            </v:textbox>
            <w10:wrap anchorx="page" anchory="page"/>
          </v:shape>
        </w:pict>
      </w:r>
      <w:r>
        <w:pict>
          <v:shape id="_x0000_s6458" o:spid="_x0000_s1040" type="#_x0000_t202" style="position:absolute;left:0;text-align:left;margin-left:323.65pt;margin-top:486.2pt;width:61.95pt;height:31.1pt;z-index:9;mso-position-horizontal-relative:page;mso-position-vertical-relative:page" stroked="f">
            <v:textbox style="mso-next-textbox:#_x0000_s6458" inset="0,0,0,0">
              <w:txbxContent>
                <w:p w:rsidR="00886407" w:rsidRDefault="00886407">
                  <w:pPr>
                    <w:pStyle w:val="OCRStyle2"/>
                    <w:ind w:left="24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886407" w:rsidRPr="00886407" w:rsidRDefault="00886407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6459" o:spid="_x0000_s1041" type="#_x0000_t202" style="position:absolute;left:0;text-align:left;margin-left:86.85pt;margin-top:71.4pt;width:468.25pt;height:409.65pt;z-index:8;mso-position-horizontal-relative:page;mso-position-vertical-relative:page" stroked="f">
            <v:textbox style="mso-next-textbox:#_x0000_s64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3"/>
                    <w:gridCol w:w="7131"/>
                  </w:tblGrid>
                  <w:tr w:rsidR="0088640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</w:tcPr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17 לחוק הדיינים, תשט"ו-1955 7,  יימחקו המלים "או אחריה, לרבות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שישולמו לתלויים בו לאחר מותו".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14 לחוק הקאדים, תשכ"א-81961, יימחקו המלים "או אחריה, לרבות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שישולמו לתלויים בו לאחר מותו".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20 לחוק בתי הדין הדרוזיים, תשכ"ג-91963, יימחקו המלים "או אחריה,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אלה שישולמו לתלויים בו לאחר מותו".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בסעיף 14 לחוק בנק ישראל, תשי"ד-1954 10, יימחקו המלים "ועדת  הכספים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תקבע את הגמלאות שישולמו לנגיד ולמשנה עם פרישה מהתפקיד ולשאיריהם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פטירה".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החוק לקביעת משכורתם של נשיא המדינה, חברי הממשלה והרבנים הראשיים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תשי"א-1950 11, לא יחול עוד על גמלתו של רב ראשי ושאיריו.</w:t>
                        </w:r>
                      </w:p>
                    </w:tc>
                  </w:tr>
                  <w:tr w:rsidR="00886407" w:rsidRPr="0088640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886407" w:rsidRP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אין בחוק זה ובהחלטות שיתקבלו על פיו כדי לגרוע מזכות שנרכשה או שנולדה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החוקים המפורטים בסעיפים 5 ו-.6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ייקבע אחרת בהחלטה על פי סעיף 1 ישולמו גמלאות לזכאים להם</w:t>
                        </w:r>
                      </w:p>
                      <w:p w:rsidR="00886407" w:rsidRP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החוקים המפורטים בסעיפים 5 ו-6.</w:t>
                        </w:r>
                      </w:p>
                    </w:tc>
                  </w:tr>
                  <w:tr w:rsidR="00886407" w:rsidRPr="0088640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886407" w:rsidRP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 (א) הממשלה ממונה על ביצוע חוק זה,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יהיה רשאי, באישור ועדת הכספים של הכנסת, להתקין תקנות בכל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עבין הנוגע לביצועו של חוק זה, ובין היתר -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הגשת תביעות לגמלאות;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תשלום ומועדם:</w:t>
                        </w:r>
                      </w:p>
                      <w:p w:rsid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שיטת ההיוון של קצבאות;</w:t>
                        </w:r>
                      </w:p>
                      <w:p w:rsidR="00886407" w:rsidRP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תשלום גמלה שלא לידי הזכאי לה.</w:t>
                        </w:r>
                      </w:p>
                    </w:tc>
                  </w:tr>
                  <w:tr w:rsidR="00886407" w:rsidRPr="0088640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886407" w:rsidRP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886407" w:rsidRPr="00886407" w:rsidRDefault="008864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ביום קבלתו בכנסת.</w:t>
                        </w:r>
                      </w:p>
                    </w:tc>
                  </w:tr>
                </w:tbl>
                <w:p w:rsidR="00886407" w:rsidRDefault="008864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58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97075D-DFAB-4A66-B7C0-D3C4BD47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58F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864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2008-04-06T21:07:00Z</dcterms:created>
  <dcterms:modified xsi:type="dcterms:W3CDTF">2008-04-06T21:07:00Z</dcterms:modified>
</cp:coreProperties>
</file>