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6043" w:rsidRDefault="00E26043">
      <w:pPr>
        <w:rPr>
          <w:rtl/>
        </w:rPr>
      </w:pPr>
    </w:p>
    <w:p w:rsidR="00E260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5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554" inset="0,0,0,0">
              <w:txbxContent>
                <w:p w:rsidR="0082282D" w:rsidRDefault="0082282D">
                  <w:r>
                    <w:rPr>
                      <w:rtl/>
                    </w:rPr>
                    <w:t>219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5" o:spid="_x0000_s1026" type="#_x0000_t202" style="position:absolute;left:0;text-align:left;margin-left:150.2pt;margin-top:715.3pt;width:429.85pt;height:81.95pt;z-index:4;mso-position-horizontal-relative:page;mso-position-vertical-relative:page" stroked="f">
            <v:textbox style="mso-next-textbox:#_x0000_s6555" inset="0,0,0,0">
              <w:txbxContent>
                <w:p w:rsidR="0082282D" w:rsidRDefault="0082282D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בסיון תשי״א (20 ביוני 1951); הצעת החוק ודברי הסבר נתפרסמו בהצעות</w:t>
                  </w:r>
                </w:p>
                <w:p w:rsidR="0082282D" w:rsidRDefault="0082282D">
                  <w:pPr>
                    <w:pStyle w:val="OCRStyle1"/>
                    <w:ind w:left="10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72, מיום כ״ד באדר כ׳ תשי״א (2.4.51), עט׳ 165.</w:t>
                  </w:r>
                </w:p>
                <w:p w:rsidR="0082282D" w:rsidRDefault="0082282D">
                  <w:pPr>
                    <w:pStyle w:val="OCRStyle1"/>
                    <w:ind w:left="8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א״י, כרד בי, פרק קט"ו, עמ' 1155.</w:t>
                  </w:r>
                </w:p>
                <w:p w:rsidR="0082282D" w:rsidRPr="00E26043" w:rsidRDefault="0082282D">
                  <w:pPr>
                    <w:pStyle w:val="OCRStyle1"/>
                    <w:ind w:left="8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א״י, כרד א', פרק י', עמוד .51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6" o:spid="_x0000_s1027" type="#_x0000_t202" style="position:absolute;left:0;text-align:left;margin-left:89.2pt;margin-top:130.4pt;width:493.6pt;height:582.9pt;z-index:3;mso-position-horizontal-relative:page;mso-position-vertical-relative:page" stroked="f">
            <v:textbox style="mso-next-textbox:#_x0000_s655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741"/>
                  </w:tblGrid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בנק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הדואר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מטרה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.יוקם שירות בנקאי במסגרת שירות הדואר של המדינה, וייקרא ״בנק הדואר׳/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.(א) מטרת בנק הדואר היא לעודד את החסכון ולהקל על העברת כספים,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השירותים שבנק הדואר יקיים הם: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פקדונות נושאי ריבית לחשבון חסכון, החזקתם וסילוקם 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כספים לחשבון סילוקים, החזקתם, העברתם וסילוקם 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כספים באמצעות המחאות דואה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בנק הדואר רשאי לעשות כל פעולה הדרושה לקיום שירותיו.</w:t>
                        </w:r>
                      </w:p>
                    </w:tc>
                  </w:tr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הביצוע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.בנק הדואר יקיים את שירותיו באותם בתי הדואר, סוכנויות הדואר ומקומות אחרים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לכך מזמן לזמן על ידי שר התחבורה בהודעה.</w:t>
                        </w:r>
                      </w:p>
                    </w:tc>
                  </w:tr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שר התחבורה ימנה יושב ראש לבנק הדואר (להלן — היושב ראש), אשר יכהן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מועצת בנק הדואר שתוקם לפי סעיף 5 וימלא כל תפקיד אחר בבנק הדואר,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 עליו שר התחבורה.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ימנה מנהל לבנק הדואר (להלן — המנהל). עסקי בנק הדואר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יתנהלו על ידי המנהל, בהתאם להוראות שר התחבורה.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מינוים של היושב ראש ושל המנהל ת בוא הודעה ברשומות.</w:t>
                        </w:r>
                      </w:p>
                    </w:tc>
                  </w:tr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בנק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הדואר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תוקם מועצת בנק הדואר (להלן — המועצה) ליעץ את שר התחבורה בשאלות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להנהלת עסקי בנק הדואר ולפיקוח עליהם.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הם חברי המועצה: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היושב ראש — מכוח משרתו 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הכללי של בתי הדואר כמשמעותו בפקודת בתי הדואר 1 או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האוצר שימונה על ידי שר האוצר: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התחבורה שימונה על ידי שר התחבורה: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חמשה חברים, ששר התחבורה ימנה אותם, כאנשי ציבור מתאימים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 זה.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הרכב המועצה ועל כל שינוי בו תבוא הודעה ברשומות.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חמשה חברים יהיו מנין חוקי בישיבות המועצה.</w:t>
                        </w:r>
                      </w:p>
                    </w:tc>
                  </w:tr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כספים המוחזקים בחשבון סילוקים בבנק הדואר, לא תשולם עליהם ריבית.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פקדונות בחשבון חסכון בבנק הדואר, תשולם עליהם ריבית בשיעור של שני</w:t>
                        </w:r>
                      </w:p>
                      <w:p w:rsidR="0082282D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לשנה : אך שר התחבורה רשאי, לאחר התיעצות עם המועצה ובהסכמת ועדת הכספים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להעלות את שער הריבית.</w:t>
                        </w:r>
                      </w:p>
                    </w:tc>
                  </w:tr>
                  <w:tr w:rsidR="0082282D" w:rsidRPr="00E2604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על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82282D" w:rsidRDefault="008228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.מסמך המשמש להעברת כספים או להוצאת כספים מבנק הדואר אינו ניתן להעברה,</w:t>
                        </w:r>
                      </w:p>
                      <w:p w:rsidR="0082282D" w:rsidRPr="00E26043" w:rsidRDefault="008228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גביה על ידי בנקאי, כמשמעותו בפקודות שטרי חליפין 2 (להלן — בנקאי).</w:t>
                        </w:r>
                      </w:p>
                    </w:tc>
                  </w:tr>
                </w:tbl>
                <w:p w:rsidR="0082282D" w:rsidRDefault="008228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57" o:spid="_x0000_s1028" type="#_x0000_t202" style="position:absolute;left:0;text-align:left;margin-left:270.75pt;margin-top:110.2pt;width:187.9pt;height:17.4pt;z-index:2;mso-position-horizontal-relative:page;mso-position-vertical-relative:page" stroked="f">
            <v:textbox style="mso-next-textbox:#_x0000_s6557" inset="0,0,0,0">
              <w:txbxContent>
                <w:p w:rsidR="0082282D" w:rsidRPr="00E26043" w:rsidRDefault="0082282D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בנק הדואר,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6558" o:spid="_x0000_s1029" type="#_x0000_t202" style="position:absolute;left:0;text-align:left;margin-left:100.1pt;margin-top:72.8pt;width:64.75pt;height:16.45pt;z-index:1;mso-position-horizontal-relative:page;mso-position-vertical-relative:page" stroked="f">
            <v:textbox style="mso-next-textbox:#_x0000_s6558" inset="0,0,0,0">
              <w:txbxContent>
                <w:p w:rsidR="0082282D" w:rsidRDefault="0082282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</w:p>
    <w:p w:rsidR="00FE5F51" w:rsidRDefault="00FE5F51">
      <w:pPr>
        <w:rPr>
          <w:rtl/>
        </w:rPr>
      </w:pPr>
      <w:r>
        <w:rPr>
          <w:rtl/>
        </w:rPr>
        <w:br w:type="page"/>
      </w:r>
    </w:p>
    <w:p w:rsidR="00FE5F51" w:rsidRDefault="00000000">
      <w:pPr>
        <w:rPr>
          <w:rtl/>
        </w:rPr>
      </w:pPr>
      <w:r>
        <w:pict>
          <v:shape id="_x0000_s655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59" inset="0,0,0,0">
              <w:txbxContent>
                <w:p w:rsidR="0082282D" w:rsidRDefault="0082282D">
                  <w:r>
                    <w:rPr>
                      <w:rtl/>
                    </w:rPr>
                    <w:t>220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0" o:spid="_x0000_s1031" type="#_x0000_t202" style="position:absolute;left:0;text-align:left;margin-left:77.3pt;margin-top:729.85pt;width:406.1pt;height:72.05pt;z-index:7;mso-position-horizontal-relative:page;mso-position-vertical-relative:page" stroked="f">
            <v:textbox style="mso-next-textbox:#_x0000_s6560" inset="0,0,0,0">
              <w:txbxContent>
                <w:p w:rsidR="0082282D" w:rsidRDefault="0082282D">
                  <w:pPr>
                    <w:pStyle w:val="OCRStyle2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א״י, כרד בי, פרק קט״ו, עט׳ 1155.</w:t>
                  </w:r>
                </w:p>
                <w:p w:rsidR="0082282D" w:rsidRPr="00FE5F51" w:rsidRDefault="0082282D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מיום 14.12.36, תוס׳ 1, עט׳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1" o:spid="_x0000_s1032" type="#_x0000_t202" style="position:absolute;left:0;text-align:left;margin-left:81.05pt;margin-top:53.9pt;width:492.6pt;height:661.5pt;z-index:6;mso-position-horizontal-relative:page;mso-position-vertical-relative:page" stroked="f">
            <v:textbox style="mso-next-textbox:#_x0000_s656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5"/>
                    <w:gridCol w:w="1433"/>
                  </w:tblGrid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.מסמך המשמש לעסקאות בבנק הדואר יהיה פטור ממס בולים,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אחריות בנק הדואר בלפי לקוחותיו — כאחריות בנקאי : אולם בנק הדואר לא יהיה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לנזק שיבוא מחמת איחור בביצוע הוראה או בזקיפת סכום לחשבון.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בנק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הדואר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בנק הדואר יוכל לתבוע ולהיתבע ולהיות צד בכל הליך משפטי.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תביעה ובכל הליך משפטי אחר מטעם בנק הדואר או נגדו׳ יהיה בנק הדואר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 על ידי היועץ המשפטי לממשלת ישראל או על ידי בא-כוחו.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במשפטים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תוגש תביעה נגד בנק הדואר, אלא תוך שנתיים מיום שנולדה עילת התביעה;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תביעה להחזרת כספים ששולמו לבנק הדואר ולתשלום ריבית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ממנה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.(א) כל החובות החלות על בנקאי בדבר שמירת סוד יחולו על בנק הדואר ועל כל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הממלא תפקיד בו או בגוף או במוסד הפועל בעניניו.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המגלה שלא כדין ידיעה שהגיעה אליו עקב מילוי תפקידיו כאמור׳ דינו —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מאתים וחמשים לירות.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סוריות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הכספים שיתקבלו בבנק הדואר׳ מלבד הסכומים שיהיו דרושים לצרכיו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השוטפים, יופקדו באוצר המדינה.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בהסכמת שר התחבורה ובהתיעצות עם ועדת הכספים של הכנסת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סוגי ההשקעות שבהם מותר להשקיע את כספי בנק הדואר.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 כספי בנק הדואר שמותר להשקיעם והמכסה לכל סוג של השקעות,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על ידי שר האוצר, בהסכמת שר התחבורה שיתיעץ לפני כן עם המועצה.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הפקדת כספים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והשקעתם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היו ההכנסות של בנק הדואר, מן האגרות בעד השירותים ומן הרווחים על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ההשקעות, עולות בשנת כספים מסויימת על הוצאותיו לקיום השירותים ולתשלום הריבית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הפקדונות — יועבר העודף לקרן שמורה.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עלו ההוצאות על ההכנסות בשנת כספים מסויימת, ישתמשו בכספי הקרן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השמורה לכיסוי הגרעון.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והוצאות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המדינה אחראית למילוי התחיבויותיו הכספיות של בנק הדואר.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בנק הדואר יפרסם ברשומות, תוך ששה חדשים מתום כל שנת כספים, דין וחשבון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לאותה שנת כספים, ובו חשבון ריווח והפסד׳ מאזן ופירוט השקעותיו של בנק הדואר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לסוגיהן.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וחשבו?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בנק הדואר לא יפעיל שירות מן השירותים המפורטים בסעיף 2 (ב), אלא לאחר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שתפורסם ברשומות הודעה על כך מטעם שר התחבורה.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הפעלת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השירותים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עובדי בנק הדואר ייחשבו כפקידי בית הדואר, כמשמעותם בפקודת בתי הדואר 1,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הדואר</w:t>
                        </w:r>
                      </w:p>
                    </w:tc>
                  </w:tr>
                  <w:tr w:rsidR="0082282D" w:rsidRPr="00FE5F51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82282D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לענין עבירות וענישתן יראו —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מסמך להעברת כספים או להוצאת כספים מחשבון בנק הדואר — כפקודה</w:t>
                        </w:r>
                      </w:p>
                      <w:p w:rsidR="0082282D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כסף על ידי איש המתעסק בעסקי בנק, כמשמעותה בסעיף 337 לפקודת</w:t>
                        </w:r>
                      </w:p>
                      <w:p w:rsidR="0082282D" w:rsidRPr="00FE5F51" w:rsidRDefault="008228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הפלילי, 1936 2;</w:t>
                        </w:r>
                      </w:p>
                    </w:tc>
                    <w:tc>
                      <w:tcPr>
                        <w:tcW w:w="800" w:type="pct"/>
                      </w:tcPr>
                      <w:p w:rsidR="0082282D" w:rsidRPr="00FE5F51" w:rsidRDefault="008228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</w:tbl>
                <w:p w:rsidR="0082282D" w:rsidRDefault="008228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2282D" w:rsidRDefault="0082282D">
      <w:pPr>
        <w:rPr>
          <w:rtl/>
        </w:rPr>
      </w:pPr>
      <w:r>
        <w:rPr>
          <w:rtl/>
        </w:rPr>
        <w:br w:type="page"/>
      </w:r>
    </w:p>
    <w:p w:rsidR="0082282D" w:rsidRDefault="00000000">
      <w:pPr>
        <w:rPr>
          <w:rtl/>
        </w:rPr>
      </w:pPr>
      <w:r>
        <w:pict>
          <v:shape id="_x0000_s6562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562" inset="0,0,0,0">
              <w:txbxContent>
                <w:p w:rsidR="0082282D" w:rsidRDefault="0082282D">
                  <w:r>
                    <w:rPr>
                      <w:rtl/>
                    </w:rPr>
                    <w:t>221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3" o:spid="_x0000_s1034" type="#_x0000_t202" style="position:absolute;left:0;text-align:left;margin-left:450.5pt;margin-top:393.5pt;width:96.8pt;height:26.55pt;z-index:12;mso-position-horizontal-relative:page;mso-position-vertical-relative:page" stroked="f">
            <v:textbox style="mso-next-textbox:#_x0000_s6563" inset="0,0,0,0">
              <w:txbxContent>
                <w:p w:rsidR="0082282D" w:rsidRDefault="0082282D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2282D" w:rsidRDefault="0082282D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4" o:spid="_x0000_s1035" type="#_x0000_t202" style="position:absolute;left:0;text-align:left;margin-left:187.8pt;margin-top:358.05pt;width:69.3pt;height:33.65pt;z-index:11;mso-position-horizontal-relative:page;mso-position-vertical-relative:page" stroked="f">
            <v:textbox style="mso-next-textbox:#_x0000_s6564" inset="0,0,0,0">
              <w:txbxContent>
                <w:p w:rsidR="0082282D" w:rsidRDefault="0082282D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82282D" w:rsidRDefault="0082282D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5" o:spid="_x0000_s1036" type="#_x0000_t202" style="position:absolute;left:0;text-align:left;margin-left:289.95pt;margin-top:358.05pt;width:112.25pt;height:35.45pt;z-index:10;mso-position-horizontal-relative:page;mso-position-vertical-relative:page" stroked="f">
            <v:textbox style="mso-next-textbox:#_x0000_s6565" inset="0,0,0,0">
              <w:txbxContent>
                <w:p w:rsidR="0082282D" w:rsidRDefault="0082282D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282D" w:rsidRDefault="0082282D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66" o:spid="_x0000_s1037" type="#_x0000_t202" style="position:absolute;left:0;text-align:left;margin-left:97.5pt;margin-top:60.45pt;width:481.75pt;height:297.6pt;z-index:9;mso-position-horizontal-relative:page;mso-position-vertical-relative:page" stroked="f">
            <v:textbox style="mso-next-textbox:#_x0000_s656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4"/>
                    <w:gridCol w:w="7685"/>
                  </w:tblGrid>
                  <w:tr w:rsidR="0082282D" w:rsidRPr="0082282D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7" w:type="pct"/>
                      </w:tcPr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cs/>
                          </w:rPr>
                          <w:t>‎</w:t>
                        </w:r>
                        <w:r>
                          <w:rPr>
                            <w:rtl/>
                          </w:rPr>
                          <w:t>)2( המחאת דואר — כבנקנוט, כמשמעותו בפרק מ׳ לפקודה האמורה</w:t>
                        </w:r>
                      </w:p>
                      <w:p w:rsidR="0082282D" w:rsidRP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(2) ייכנס לתקפו עם פרסום ההודעה האמורה בסעיף 22 (ב).</w:t>
                        </w:r>
                      </w:p>
                    </w:tc>
                  </w:tr>
                  <w:tr w:rsidR="0082282D" w:rsidRPr="0082282D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  <w:p w:rsidR="0082282D" w:rsidRP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וביצוע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שר התחבורה ממונה על ביצוע חוק זה, והוא רשאי להתקין תקנות בכל דבר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לביצועה לרבות תקנות בדבר הנהלת חשבון חסכון בידי קטן ובידי נאמן; בדבר הג-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 סכום הפקדון בחשבון חסכון שעליו תשולם ריבית: בדבר מינוי מורשה לבעל חשבון :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עסקאות בחשבונו של נפטר, או של אדם שנפסל, כשמטרת העסקאות היא תשלום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דחופות או קיום הרשאת הנפטר לשותף בחשבון : ובדבר קביעת אגרות על שירותי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הדואר.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להעביר את סמכויותיו לאחר, חוץ מן הסמכות למינויים</w:t>
                        </w:r>
                      </w:p>
                      <w:p w:rsidR="0082282D" w:rsidRP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ולהתקנה תקנות.</w:t>
                        </w:r>
                      </w:p>
                    </w:tc>
                  </w:tr>
                  <w:tr w:rsidR="0082282D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2282D" w:rsidRP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פקודת בנק החסכונות של בתי הדואר של פלשתינה (א"י), 1941  1— בטלה.</w:t>
                        </w:r>
                      </w:p>
                    </w:tc>
                  </w:tr>
                  <w:tr w:rsidR="0082282D" w:rsidRPr="0082282D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82282D" w:rsidRP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הדואר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82282D" w:rsidRDefault="008228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(א) פקודת בתי הדואר תתוקן כך: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סעיפים 20 עד 23 ו-90 עד 93 — בטלים :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102 יימחקו המלים ״המחאת כסף".</w:t>
                        </w:r>
                      </w:p>
                      <w:p w:rsid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סעיף זה הוא מהיום שבו תפורסם ברשומות הודעה לפי סעיף 17 על</w:t>
                        </w:r>
                      </w:p>
                      <w:p w:rsidR="0082282D" w:rsidRPr="0082282D" w:rsidRDefault="008228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השירות הנזכר בסעיף 2 (ב) (3).</w:t>
                        </w:r>
                      </w:p>
                    </w:tc>
                  </w:tr>
                </w:tbl>
                <w:p w:rsidR="0082282D" w:rsidRDefault="008228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260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3FE7DF-B1AC-49CE-943F-A48ADC4D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604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E5F5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228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2008-04-06T17:28:00Z</dcterms:created>
  <dcterms:modified xsi:type="dcterms:W3CDTF">2008-04-06T17:28:00Z</dcterms:modified>
</cp:coreProperties>
</file>