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A21789" w:rsidRDefault="00A21789">
      <w:pPr>
        <w:rPr>
          <w:rtl/>
        </w:rPr>
      </w:pPr>
    </w:p>
    <w:p w:rsidR="00A2178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659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6598" inset="0,0,0,0">
              <w:txbxContent>
                <w:p w:rsidR="003427DA" w:rsidRDefault="003427DA">
                  <w:r>
                    <w:rPr>
                      <w:rtl/>
                    </w:rPr>
                    <w:t>234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599" o:spid="_x0000_s1026" type="#_x0000_t202" style="position:absolute;left:0;text-align:left;margin-left:80.9pt;margin-top:658.3pt;width:377.8pt;height:94.85pt;z-index:3;mso-position-horizontal-relative:page;mso-position-vertical-relative:page" stroked="f">
            <v:textbox style="mso-next-textbox:#_x0000_s6599" inset="0,0,0,0">
              <w:txbxContent>
                <w:p w:rsidR="003427DA" w:rsidRDefault="003427D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בתמוז תשכיח (19 ביולי 1965); הצעת החוק ודברי הסבר פורסמו בה"ח 642, תשכ"ה,</w:t>
                  </w:r>
                </w:p>
                <w:p w:rsidR="003427DA" w:rsidRDefault="003427DA">
                  <w:pPr>
                    <w:pStyle w:val="OCRStyle1"/>
                    <w:ind w:left="34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152.</w:t>
                  </w:r>
                </w:p>
                <w:p w:rsidR="003427DA" w:rsidRDefault="003427DA">
                  <w:pPr>
                    <w:pStyle w:val="OCRStyle1"/>
                    <w:ind w:left="23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חוקי איי/ כרך בי/ סרק קט"ו, עמ' 1155; ס"ח תשייא/ עמי 221; תשט"ז, עמ' 87; תשכ"ב, עמי' 103; תשכ"ג,</w:t>
                  </w:r>
                </w:p>
                <w:p w:rsidR="003427DA" w:rsidRPr="00A21789" w:rsidRDefault="003427DA">
                  <w:pPr>
                    <w:pStyle w:val="OCRStyle1"/>
                    <w:ind w:left="34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44; תשכיח/ עמ' .44</w:t>
                  </w:r>
                </w:p>
              </w:txbxContent>
            </v:textbox>
            <w10:wrap anchorx="page" anchory="page"/>
          </v:shape>
        </w:pict>
      </w:r>
      <w:r>
        <w:pict>
          <v:shape id="_x0000_s6600" o:spid="_x0000_s1027" type="#_x0000_t202" style="position:absolute;left:0;text-align:left;margin-left:80.9pt;margin-top:107.45pt;width:459.35pt;height:546.7pt;z-index:2;mso-position-horizontal-relative:page;mso-position-vertical-relative:page" stroked="f">
            <v:textbox style="mso-next-textbox:#_x0000_s660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525"/>
                    <w:gridCol w:w="1492"/>
                    <w:gridCol w:w="1335"/>
                  </w:tblGrid>
                  <w:tr w:rsidR="003427DA" w:rsidRPr="00A21789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3427DA" w:rsidRDefault="003427DA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בפקודת בתי הדואר 1 (להלן - הפקודה)' במקום "עבודת טלגרף" יבוא בכל מקום</w:t>
                        </w:r>
                      </w:p>
                      <w:p w:rsidR="003427DA" w:rsidRPr="00A21789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"מיתקן טלגרף".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3427DA" w:rsidRPr="00A21789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שינוי מונח</w:t>
                        </w:r>
                      </w:p>
                    </w:tc>
                  </w:tr>
                  <w:tr w:rsidR="003427DA" w:rsidRPr="00A21789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3427DA" w:rsidRPr="00A21789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3ב לפקודה' במקום "מנוצל טלגרף" יבוא "מנוצל מיתקן טלגרף".</w:t>
                        </w:r>
                      </w:p>
                    </w:tc>
                    <w:tc>
                      <w:tcPr>
                        <w:tcW w:w="799" w:type="pct"/>
                      </w:tcPr>
                      <w:p w:rsidR="003427DA" w:rsidRPr="00A21789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3ב</w:t>
                        </w:r>
                      </w:p>
                    </w:tc>
                  </w:tr>
                  <w:tr w:rsidR="003427DA" w:rsidRPr="00A21789">
                    <w:trPr>
                      <w:jc w:val="right"/>
                    </w:trPr>
                    <w:tc>
                      <w:tcPr>
                        <w:tcW w:w="4201" w:type="pct"/>
                        <w:gridSpan w:val="2"/>
                      </w:tcPr>
                      <w:p w:rsidR="003427DA" w:rsidRPr="00A21789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במקום סעיף 11 לפקודה יבוא:</w:t>
                        </w:r>
                      </w:p>
                    </w:tc>
                    <w:tc>
                      <w:tcPr>
                        <w:tcW w:w="799" w:type="pct"/>
                        <w:vMerge w:val="restart"/>
                      </w:tcPr>
                      <w:p w:rsidR="003427DA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מטיף 11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וחוסמת סעיפים</w:t>
                        </w:r>
                      </w:p>
                      <w:p w:rsidR="003427DA" w:rsidRPr="00A21789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11א-11ז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3427DA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על אף האמור בכל דין אחר' תהא המדינה אחראית -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לנזק' לגניבה או לאבדן של דבר דואר כפנים הארץ,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שאירעו במהלך השירותים הניתנים על ידי פקיד בי-דואר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בתפקידו ועקב שירותים אלה ובלבד שנתקיימו שלוש אלה: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דבר-הדואר נתקבל למשלוח בדואר (להלן -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דיוור) תמורת קבלה ומסירתו טעונה אישור;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דבר הנזק הובא לידיעת פקיד הבי-דואר בעת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מסירת דבר הדואר או בהזדמנות הסבירה הראשונה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מכן;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הנזק או האבדן לא נגרמו מחמת אריזה בלתי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מספקת או בלתי מתאימה' או מחמת טיבו של דבר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הדואר' או באשמתם של השולח או של גורמים שבידי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שמים.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לנזק שנגרם לדבר הדואר' אם הוכיח השולח' כי בעת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דיוור דבר הדואר טיפל בו פקיד הבי-דואר בצורה שיש בה</w:t>
                        </w:r>
                      </w:p>
                      <w:p w:rsidR="003427DA" w:rsidRPr="00A21789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רשלנות.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427DA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'אחריות לדבר</w:t>
                        </w:r>
                      </w:p>
                      <w:p w:rsidR="003427DA" w:rsidRPr="00A21789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דואר בטנים הארץ</w:t>
                        </w:r>
                      </w:p>
                    </w:tc>
                    <w:tc>
                      <w:tcPr>
                        <w:tcW w:w="799" w:type="pct"/>
                        <w:vMerge/>
                      </w:tcPr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11א. אין המדינה אחראית לנזק שנגרם על-ידי איחור במסירה או מסירה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מוטעית של דבר הדואר.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427DA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האחריות</w:t>
                        </w:r>
                      </w:p>
                      <w:p w:rsidR="003427DA" w:rsidRPr="00A21789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למסירה</w:t>
                        </w:r>
                      </w:p>
                    </w:tc>
                    <w:tc>
                      <w:tcPr>
                        <w:tcW w:w="799" w:type="pct"/>
                      </w:tcPr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08" w:type="pct"/>
                      </w:tcPr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11ב. הראיה שנזק או אבדן כאמור בסעיף 11 אירעו במהלך השירותים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הניתנים על ידי משרד הדואר ועקב שירותים אלה היא על התובע; אולם-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אם בעת מסירת דבר הדואר ניתן לראות - בלי לפתוח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אריזתו שהוא ניזק או יש יסוד סביר להנחה שהוא ניזק'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חזקה היא שהנזק אירע כמהלך אותם שירותים ועקב אותם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כל עוד לא הוכח היפוכו של דבר;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אם הוכח הדיוור על-ידי המצאת תעודת רישום על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הדיוור ודבר הדואר לא נמסר' חזקה היא שהאבדן אירע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במהלך אותם שירותים ועקב אותם שירותים כל עוד לא הוכח</w:t>
                        </w:r>
                      </w:p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היפוכו של דבר.</w:t>
                        </w:r>
                      </w:p>
                    </w:tc>
                    <w:tc>
                      <w:tcPr>
                        <w:tcW w:w="893" w:type="pct"/>
                      </w:tcPr>
                      <w:p w:rsidR="003427DA" w:rsidRPr="00A21789" w:rsidRDefault="003427D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ראיות</w:t>
                        </w:r>
                      </w:p>
                    </w:tc>
                    <w:tc>
                      <w:tcPr>
                        <w:tcW w:w="799" w:type="pct"/>
                      </w:tcPr>
                      <w:p w:rsidR="003427DA" w:rsidRDefault="003427D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27DA" w:rsidRDefault="003427D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6601" o:spid="_x0000_s1028" type="#_x0000_t202" style="position:absolute;left:0;text-align:left;margin-left:111.75pt;margin-top:72.6pt;width:313.65pt;height:32.45pt;z-index:1;mso-position-horizontal-relative:page;mso-position-vertical-relative:page" stroked="f">
            <v:textbox style="mso-next-textbox:#_x0000_s6601" inset="0,0,0,0">
              <w:txbxContent>
                <w:p w:rsidR="003427DA" w:rsidRPr="00A21789" w:rsidRDefault="003427DA">
                  <w:pPr>
                    <w:pStyle w:val="OCRStyle1"/>
                    <w:ind w:left="19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בתי הדואר (מס' 6), תשכ"ה-1965 *</w:t>
                  </w:r>
                </w:p>
              </w:txbxContent>
            </v:textbox>
            <w10:wrap anchorx="page" anchory="page"/>
          </v:shape>
        </w:pict>
      </w:r>
    </w:p>
    <w:p w:rsidR="00342FAC" w:rsidRDefault="00342FAC">
      <w:pPr>
        <w:rPr>
          <w:rtl/>
        </w:rPr>
      </w:pPr>
      <w:r>
        <w:rPr>
          <w:rtl/>
        </w:rPr>
        <w:br w:type="page"/>
      </w:r>
    </w:p>
    <w:p w:rsidR="00342FAC" w:rsidRDefault="00000000">
      <w:pPr>
        <w:rPr>
          <w:rtl/>
        </w:rPr>
      </w:pPr>
      <w:r>
        <w:pict>
          <v:shape id="_x0000_s660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6602" inset="0,0,0,0">
              <w:txbxContent>
                <w:p w:rsidR="003427DA" w:rsidRDefault="003427DA">
                  <w:r>
                    <w:rPr>
                      <w:rtl/>
                    </w:rPr>
                    <w:t>235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03" o:spid="_x0000_s1030" type="#_x0000_t202" style="position:absolute;left:0;text-align:left;margin-left:367.75pt;margin-top:685.75pt;width:180.4pt;height:62.55pt;z-index:6;mso-position-horizontal-relative:page;mso-position-vertical-relative:page" stroked="f">
            <v:textbox style="mso-next-textbox:#_x0000_s6603" inset="0,0,0,0">
              <w:txbxContent>
                <w:p w:rsidR="003427DA" w:rsidRPr="00342FAC" w:rsidRDefault="003427DA">
                  <w:pPr>
                    <w:pStyle w:val="OCRStyle2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כתני אמנה, כרן 11/ עמ' 147.</w:t>
                  </w:r>
                </w:p>
              </w:txbxContent>
            </v:textbox>
            <w10:wrap anchorx="page" anchory="page"/>
          </v:shape>
        </w:pict>
      </w:r>
      <w:r>
        <w:pict>
          <v:shape id="_x0000_s6604" o:spid="_x0000_s1031" type="#_x0000_t202" style="position:absolute;left:0;text-align:left;margin-left:93.7pt;margin-top:71.55pt;width:467.1pt;height:609.05pt;z-index:5;mso-position-horizontal-relative:page;mso-position-vertical-relative:page" stroked="f">
            <v:textbox style="mso-next-textbox:#_x0000_s6604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2"/>
                    <w:gridCol w:w="5774"/>
                    <w:gridCol w:w="1415"/>
                  </w:tblGrid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11ג. השולח או חליפו הם הזכאים לתבוע פיצויים לפי סעיף 11.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11ד. (1) אין המדינה חייבת בפיצויים לפי סעיף 11 אלא כדי שווי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הנזק לדבר הדואר' או כדי ערכו של דבר הדואר אם אבד' אך לא למעלה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מן הסכום הקבוע בתוספת השלישית לצד הפריט שעמו נמנה דבר הדואר.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הדואר רשאי' באישור ועדת הכלכלה של הכנסת, לשגות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מפרטי התוספת השלישית או להוסיף עליהם.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427DA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כל6י מי</w:t>
                        </w:r>
                      </w:p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היקף האחריות</w:t>
                        </w:r>
                      </w:p>
                    </w:tc>
                  </w:tr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11ה. (1) המדינה אחראית לדבר דואר - למעט חבילה - הנשלח מחוץ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לארץ או לחוץ לארץ בהגבלות ובתנאים שפורשו לענין אחריות של מינהל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באמנת הדואר העולמית, אוטווה, 1957 2, או בכל אמנה הבאה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כמקומה.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המדינה אחראית לחבילה הנשלחת מחוץ לארץ או לחוץ לארץ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בהגבלות ובתנאים שפורשו לענין אחריות של מינהל דואר בהסכם בדבר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חבילות דואר, אוטווה, 1957, או בכל הסכם שבא כמקומו.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חבילה שנשלחה משטח או לשטח של מינהל דואר שאינו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מכיר באחריות לפי ההסכם האמור בסעיף קטן (2), ואבדה או נזוקה בעת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היותה בידי פקיד הבי-דואר, דינה לענין אחריות המדינה לאבדן או לנזק,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כדין חבילה שהיא דבר דואר בפנים הארץ.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427DA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לדבר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דואר בשירות</w:t>
                        </w:r>
                      </w:p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בין-לאומי</w:t>
                        </w:r>
                      </w:p>
                    </w:tc>
                  </w:tr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11ו. על אף האמור בסעיפים 11-11ה לא ייזקק בית המשפט לתובענה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אחד מהם, אם תוך שנה מיום דיוור דבר הדואר לא דרש התובע,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בכתב, פיצויים מאוצר המדינה, או שדרש כאמור, אך לא הגיש תובענה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תוך ששים יום מתאריך ההודעה על דחיית דרישתו.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מועד התיישנות</w:t>
                        </w:r>
                      </w:p>
                    </w:tc>
                  </w:tr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11ז. נזק שאירע במהלך שירותיו של פקיד בי-דואר בתפקידו ועקב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שירותים אלה - לא ישא בו הפקיד במידה העולה על אחריות המדינה/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אלא אם גרם לנזק בזדון או ברשלנות חמורה."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הגבלת אחריות</w:t>
                        </w:r>
                      </w:p>
                    </w:tc>
                  </w:tr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20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3427DA" w:rsidRPr="00342FAC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במקום סעיף 20 לפקודה יבוא:</w:t>
                        </w:r>
                      </w:p>
                    </w:tc>
                  </w:tr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0" w:type="pct"/>
                      </w:tcPr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(1) שר הדואר, רשאי להסדיר העברת סכומי כסף על ידי בי-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דואר בהמחאות ולקבל בעדן עמלה, כפי שיקבע, והיא תהא חלק מהכנסות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הבי-דואר.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בכפוף לכל הוראה שנקבעה לענין המחאות כסף ותשלומן,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בני-אדם אשר להם או על ידיהם ישולמו ההמחאות, המועדים לתשלומן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והאופן שבו ישולמו, רשאי שר הדואר לפרוע את סכום ההמחאה לאדם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אשר לו ניתנה ההמחאה, או ליורשיו, או למנהלי עזבונו, בין אם ההמחאה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נשארה בידי אותו אדם ובין אם לא נשארה; ומשנפרעה ההמחאה כאמור,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תהא עוד המדינה אחראית לה כלפי הנפרע שבהמחאה, כלפי המחזיק</w:t>
                        </w:r>
                      </w:p>
                      <w:p w:rsidR="003427DA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 וכלפי כל אדם אחר."</w:t>
                        </w:r>
                      </w:p>
                    </w:tc>
                    <w:tc>
                      <w:tcPr>
                        <w:tcW w:w="833" w:type="pct"/>
                      </w:tcPr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"המחאות כסף</w:t>
                        </w:r>
                      </w:p>
                    </w:tc>
                  </w:tr>
                  <w:tr w:rsidR="003427DA" w:rsidRPr="00342FAC">
                    <w:trPr>
                      <w:jc w:val="right"/>
                    </w:trPr>
                    <w:tc>
                      <w:tcPr>
                        <w:tcW w:w="767" w:type="pct"/>
                      </w:tcPr>
                      <w:p w:rsidR="003427DA" w:rsidRPr="00342FAC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40</w:t>
                        </w:r>
                      </w:p>
                    </w:tc>
                    <w:tc>
                      <w:tcPr>
                        <w:tcW w:w="4233" w:type="pct"/>
                        <w:gridSpan w:val="2"/>
                      </w:tcPr>
                      <w:p w:rsidR="003427DA" w:rsidRDefault="003427DA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כסעיף 40 לפקודה, אחרי המלה "טלגרף" יבוא, ככל מקום, "עמוד טלגרף או תא</w:t>
                        </w:r>
                      </w:p>
                      <w:p w:rsidR="003427DA" w:rsidRPr="00342FAC" w:rsidRDefault="003427D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טלגרף תת-קרקעי".</w:t>
                        </w:r>
                      </w:p>
                    </w:tc>
                  </w:tr>
                </w:tbl>
                <w:p w:rsidR="003427DA" w:rsidRDefault="003427D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B6227" w:rsidRDefault="003B6227">
      <w:pPr>
        <w:rPr>
          <w:rtl/>
        </w:rPr>
      </w:pPr>
      <w:r>
        <w:rPr>
          <w:rtl/>
        </w:rPr>
        <w:br w:type="page"/>
      </w:r>
    </w:p>
    <w:p w:rsidR="003B6227" w:rsidRDefault="00000000">
      <w:pPr>
        <w:rPr>
          <w:rtl/>
        </w:rPr>
      </w:pPr>
      <w:r>
        <w:pict>
          <v:shape id="_x0000_s660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6605" inset="0,0,0,0">
              <w:txbxContent>
                <w:p w:rsidR="003427DA" w:rsidRDefault="003427DA">
                  <w:r>
                    <w:rPr>
                      <w:rtl/>
                    </w:rPr>
                    <w:t>236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06" o:spid="_x0000_s1033" type="#_x0000_t202" style="position:absolute;left:0;text-align:left;margin-left:93.45pt;margin-top:719.9pt;width:197.2pt;height:20pt;z-index:9;mso-position-horizontal-relative:page;mso-position-vertical-relative:page" stroked="f">
            <v:textbox style="mso-next-textbox:#_x0000_s6606" inset="0,0,0,0">
              <w:txbxContent>
                <w:p w:rsidR="003427DA" w:rsidRDefault="003427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6607" o:spid="_x0000_s1034" type="#_x0000_t202" style="position:absolute;left:0;text-align:left;margin-left:87.7pt;margin-top:62.55pt;width:462.55pt;height:650.65pt;z-index:8;mso-position-horizontal-relative:page;mso-position-vertical-relative:page" stroked="f">
            <v:textbox style="mso-next-textbox:#_x0000_s6607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695"/>
                    <w:gridCol w:w="1394"/>
                    <w:gridCol w:w="1320"/>
                  </w:tblGrid>
                  <w:tr w:rsidR="003427DA" w:rsidRPr="003B622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אחרי סעיף 40 לפקודה יבוא:</w:t>
                        </w:r>
                      </w:p>
                    </w:tc>
                    <w:tc>
                      <w:tcPr>
                        <w:tcW w:w="785" w:type="pct"/>
                        <w:vMerge w:val="restar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סעיפים</w:t>
                        </w:r>
                      </w:p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40א/ 40ב, 40ג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40א. מחזיק במקרקעין הרואה עצמו בפגע מהשימוש בסמכות לפי סעיף 40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בדבר התקנת עמוד טלגרף או תא טלגרף תת-קרקעי, רשאי לערוך לפני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ערר האמורה בסעיף 40ב, תוך 15 יום מיום שנמסרה לו הודעה לפי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42/ ואם לא נמסרה לו הודעה כאמור תוך 15 יום מהיום שהכוונה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בסמכות או דבר השימוש בסמכות הגיעו לידיעתו.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"ערר</w:t>
                        </w:r>
                      </w:p>
                    </w:tc>
                    <w:tc>
                      <w:tcPr>
                        <w:tcW w:w="785" w:type="pct"/>
                        <w:vMerge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40ב. (0 שר המשפטים ימנה לענין סעיף 40א ועדות ערר של שלושה,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שאחד מהם שופט שלום ושני אנשי ציבור שאינם עובדי המדינה.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הועדה רשאית לאשר את השימוש בסמכות או לבטלו.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אין אחרי החלטת הועדה ולא כלום.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לועדה יהיו הסמכויות שאפשר להעניקן לפי סעיף 5 ו-5א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לפקודת ועדות חקירה; וכן רשאית הועדה להטיל הוצאות, להיכנס או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להרשות אדם אחר להיכנס בכל עת סבירה לכל מקרקעין ולערוך בו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בדיקות.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ועדות ערר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40ג. שר המשפטים יתקין תקנות בדבר סדרי הדין בועדות ערר."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נוחל וסדרי דין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27DA" w:rsidRPr="003B622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במקום סעיף 43 לפקודה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החלטת סעיף 43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43. שר הדואר ופקידי בי-דואר, בהשתמשם בסמכויות הנתונות להם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סעיף 40, ימעיטו בגרימת נזק ככל האפשר ובעד כל נזק שנגרם</w:t>
                        </w:r>
                      </w:p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ישולמו פיצויים מאוצר המדינה."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"תשלום פיצויים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27DA" w:rsidRPr="003B622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במקום סעיף 44 לפקודה יבוא: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החלפה סעיף 44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6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44. (1) הרוצה לבנות דרך או לשנותה יתן על כך לשר הדואר, או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 שהשר הסמיכו לכך, הודעה בכתב שלושים יום לפחות לפני התחלת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העבודה, ואם לא נתן הודעה כאמור, ישא בכל ההוצאות שנגרמו עקב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אי-מתן ההודעה.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ניתנה ההודעה, תסיר המדינה כל מיתקן טלגרף הנמצא במקום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שבו תבוצע עבודה כאמור בסעיף קטן (1) ותעביר אותו תוך זמן סביר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למקום ובדרך שקבע שר הדואר בהתאם לתכנון רשת הטלגרף ולאחר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התייעצות עם הרשות המקומית שבתחום שיפוטה תיבנה הדרך.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ההוצאות להסרת מיתקן הטלגרף והעברתו עקב עבודה כאמור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בסעיף קטן (1) יהיו על החייב במתן ההודעה, בין שניתנה ההודעה ובין</w:t>
                        </w:r>
                      </w:p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ניתנה."</w:t>
                        </w:r>
                      </w:p>
                    </w:tc>
                    <w:tc>
                      <w:tcPr>
                        <w:tcW w:w="829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"הודעה על</w:t>
                        </w:r>
                      </w:p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בנין דרך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427DA" w:rsidRPr="003B6227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בסעיף 47 לפקודה -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47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4215" w:type="pct"/>
                        <w:gridSpan w:val="2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המלה "טלגרף" יבוא "או עמוד טלגרף או תא טלגרף תת-קרקעי",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ואחרי המלה "הקלקול" יבוא "וכן את ההפסד בהכנסות המדינה שנגרם";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האמור באותו סעיף יסומן כסעיף קטן (1) ואחריו יבואן</w:t>
                        </w:r>
                      </w:p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על אף האמור בסעיף קטן (1) לא יוטל על אדם ההפסד</w:t>
                        </w:r>
                      </w:p>
                      <w:p w:rsidR="003427DA" w:rsidRPr="003B6227" w:rsidRDefault="003427D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שנגרם בהכנסות המדינה -</w:t>
                        </w:r>
                      </w:p>
                    </w:tc>
                    <w:tc>
                      <w:tcPr>
                        <w:tcW w:w="785" w:type="pct"/>
                      </w:tcPr>
                      <w:p w:rsidR="003427DA" w:rsidRDefault="003427D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27DA" w:rsidRDefault="003427D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586B15" w:rsidRDefault="00586B15">
      <w:pPr>
        <w:rPr>
          <w:rtl/>
        </w:rPr>
      </w:pPr>
      <w:r>
        <w:rPr>
          <w:rtl/>
        </w:rPr>
        <w:br w:type="page"/>
      </w:r>
    </w:p>
    <w:p w:rsidR="00586B15" w:rsidRDefault="00000000">
      <w:pPr>
        <w:rPr>
          <w:rtl/>
        </w:rPr>
      </w:pPr>
      <w:r>
        <w:pict>
          <v:shape id="_x0000_s660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6608" inset="0,0,0,0">
              <w:txbxContent>
                <w:p w:rsidR="003427DA" w:rsidRDefault="003427DA">
                  <w:r>
                    <w:rPr>
                      <w:rtl/>
                    </w:rPr>
                    <w:t>237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09" o:spid="_x0000_s1036" type="#_x0000_t202" style="position:absolute;left:0;text-align:left;margin-left:356.95pt;margin-top:720.15pt;width:193.85pt;height:31.7pt;z-index:12;mso-position-horizontal-relative:page;mso-position-vertical-relative:page" stroked="f">
            <v:textbox style="mso-next-textbox:#_x0000_s6609" inset="0,0,0,0">
              <w:txbxContent>
                <w:p w:rsidR="003427DA" w:rsidRDefault="003427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6610" o:spid="_x0000_s1037" type="#_x0000_t202" style="position:absolute;left:0;text-align:left;margin-left:84.5pt;margin-top:68.35pt;width:469.65pt;height:648.45pt;z-index:11;mso-position-horizontal-relative:page;mso-position-vertical-relative:page" stroked="f">
            <v:textbox style="mso-next-textbox:#_x0000_s6610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2"/>
                    <w:gridCol w:w="5633"/>
                    <w:gridCol w:w="1453"/>
                  </w:tblGrid>
                  <w:tr w:rsidR="003427DA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בהריסתם או בקלקולם של עמוד טלגרף או תא טלגרף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תת-קרקעי - אם הוכיח שנקט בכל אמצעי הזהירות הסבירים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ההרס או הקלקול;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בהריסתם או בקלקולם של טלגרף, עמוד טלגרף, או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תא-טלגרף תת-קרקעי' תוך כדי ביצוע עבודה בהתאם לרשיון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שניתן לו מאת ועדה מקומית לפי פקודת בנין ערים, 1936 -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אם הוכיח שלאחר הגשת הבקשה לרשיון ולפני תחילת ביצוע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העבודה' שאל במכתב לשר הדואר או למי שהשר הסמיכו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לכך, אם קיים בשטח העבודה טלגרף, עמוד טלגרף או תא-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טלגרף תת-קרקעי' ונקט בכל אמצעי הזהירות הסבירים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למניעת ההרס או הקלקול."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47א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אחרי סעיף 47 לפקודה יבוא: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47א. (0 לא יבצע אדם בין בעצמו ובין על ידי אחר מטעמו עבודת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חפירה, חריש ונטיעה, שעמקה למעלה מחמישים סנטימטר, תוך שלושים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 מציר של דרך אלא בהיתר מאת שר הדואר.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שר הדואר רשאי' בצו' להוציא שטח של רשות מקומית' כולו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מקצתו' מתחום תחולת הוראה זו.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העובר על הוראת סעיף זה' דינו - מאסר ששה חדשים."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''איסור עבודות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55א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אחרי סעיף 55 לפקודה יבוא: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55א. המדינה לא תשא באחריות לאחד הנזקים המנויים להלן, והם: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שנגרם -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לטלגרף שברשות מנוי על ידי זרם חשמלי שהועבר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לבית המנוי באמצעות הטלגרף ושמקורו אינו בפיקוח שר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הדואר או מי שהשר הסמיכו לכך; ואולם אין בכך כדי לשחרר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שר הדואר מן החובה לנקוט אמצעי זהירות סבירים למניעת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נזק כאמור;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למנוי בגלל הפסקת הקשר הטלגרפי;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למנוי עקב טעויות במתן שירות הקשור כשירות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טלגרף."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''חסינות</w:t>
                        </w:r>
                      </w:p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מפני אחריות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58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האמור בסעיף 58 לפקודה' יסומן כסעיף קטן (1) ואחריו יבוא: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"(2) שר הדואר רשאי' באישור ועדת הכלכלה של הכנסת' להתקין</w:t>
                        </w:r>
                      </w:p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המתירות חיבור מנוי נוסף לטלגרף קיים."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58א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אחרי סעיף 58 לפקודה יבוא: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99" w:type="pct"/>
                      </w:tcPr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58א. מנוי הרואה עצמו נפגע מהשימוש בסמכות כדבר חיבור מנוי נוסף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לטלגרף הקיים, רשאי תוך 14 יום, מהיום שבו נמסרה לו הודעה על הכוונה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להשתמש בסמכות' להשיג על ההודעה בפני שר הדואר. הוגשה ההשגה</w:t>
                        </w:r>
                      </w:p>
                      <w:p w:rsidR="003427DA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לא יבוצע החיבור אלא אם החליט שר הדואר לדחות את ההשגה."</w:t>
                        </w:r>
                      </w:p>
                    </w:tc>
                    <w:tc>
                      <w:tcPr>
                        <w:tcW w:w="851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"השנה</w:t>
                        </w:r>
                      </w:p>
                    </w:tc>
                  </w:tr>
                  <w:tr w:rsidR="003427DA" w:rsidRPr="00586B15">
                    <w:trPr>
                      <w:jc w:val="right"/>
                    </w:trPr>
                    <w:tc>
                      <w:tcPr>
                        <w:tcW w:w="850" w:type="pct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73</w:t>
                        </w:r>
                      </w:p>
                    </w:tc>
                    <w:tc>
                      <w:tcPr>
                        <w:tcW w:w="4150" w:type="pct"/>
                        <w:gridSpan w:val="2"/>
                      </w:tcPr>
                      <w:p w:rsidR="003427DA" w:rsidRPr="00586B15" w:rsidRDefault="003427D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בתחילת חלק ח' לפקודה' אחרי הכותרת "עבירות בי-דואר" יבוא:</w:t>
                        </w:r>
                      </w:p>
                    </w:tc>
                  </w:tr>
                </w:tbl>
                <w:p w:rsidR="003427DA" w:rsidRDefault="003427D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427DA" w:rsidRDefault="003427DA">
      <w:pPr>
        <w:rPr>
          <w:rtl/>
        </w:rPr>
      </w:pPr>
      <w:r>
        <w:rPr>
          <w:rtl/>
        </w:rPr>
        <w:br w:type="page"/>
      </w:r>
    </w:p>
    <w:p w:rsidR="003427DA" w:rsidRDefault="00000000">
      <w:pPr>
        <w:rPr>
          <w:rtl/>
        </w:rPr>
      </w:pPr>
      <w:r>
        <w:pict>
          <v:shape id="_x0000_s661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6611" inset="0,0,0,0">
              <w:txbxContent>
                <w:p w:rsidR="003427DA" w:rsidRDefault="003427DA">
                  <w:r>
                    <w:rPr>
                      <w:rtl/>
                    </w:rPr>
                    <w:t>238                                          ספר החוקים 463                  כ"ט בתמוז התשכ"ה 29.07.1965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2" o:spid="_x0000_s1039" type="#_x0000_t202" style="position:absolute;left:0;text-align:left;margin-left:86.9pt;margin-top:701.75pt;width:189.7pt;height:49.3pt;z-index:18;mso-position-horizontal-relative:page;mso-position-vertical-relative:page" stroked="f">
            <v:textbox style="mso-next-textbox:#_x0000_s6612" inset="0,0,0,0">
              <w:txbxContent>
                <w:p w:rsidR="003427DA" w:rsidRDefault="003427DA">
                  <w:pPr>
                    <w:pStyle w:val="OCRStyle5"/>
                    <w:rPr>
                      <w:rtl/>
                    </w:rPr>
                  </w:pPr>
                </w:p>
                <w:p w:rsidR="003427DA" w:rsidRPr="003427DA" w:rsidRDefault="003427DA">
                  <w:pPr>
                    <w:pStyle w:val="OCRStyle5"/>
                    <w:ind w:left="644"/>
                  </w:pPr>
                  <w:r>
                    <w:rPr>
                      <w:sz w:val="18"/>
                      <w:szCs w:val="18"/>
                      <w:rtl/>
                    </w:rPr>
                    <w:t>הודפס ע"י המדפיס הממשלתי,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3" o:spid="_x0000_s1040" type="#_x0000_t202" style="position:absolute;left:0;text-align:left;margin-left:117pt;margin-top:642.35pt;width:81.95pt;height:35.05pt;z-index:17;mso-position-horizontal-relative:page;mso-position-vertical-relative:page" stroked="f">
            <v:textbox style="mso-next-textbox:#_x0000_s6613" inset="0,0,0,0">
              <w:txbxContent>
                <w:p w:rsidR="003427DA" w:rsidRDefault="003427DA">
                  <w:pPr>
                    <w:pStyle w:val="OCRStyle5"/>
                    <w:ind w:left="50"/>
                    <w:rPr>
                      <w:rtl/>
                    </w:rPr>
                  </w:pPr>
                  <w:r>
                    <w:rPr>
                      <w:rtl/>
                    </w:rPr>
                    <w:t>אליהו ששון</w:t>
                  </w:r>
                </w:p>
                <w:p w:rsidR="003427DA" w:rsidRDefault="003427DA">
                  <w:pPr>
                    <w:pStyle w:val="OCRStyle5"/>
                    <w:ind w:left="292"/>
                  </w:pPr>
                  <w:r>
                    <w:rPr>
                      <w:rtl/>
                    </w:rPr>
                    <w:t>שר הדואר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4" o:spid="_x0000_s1041" type="#_x0000_t202" style="position:absolute;left:0;text-align:left;margin-left:237.35pt;margin-top:640.75pt;width:89.3pt;height:38.4pt;z-index:16;mso-position-horizontal-relative:page;mso-position-vertical-relative:page" stroked="f">
            <v:textbox style="mso-next-textbox:#_x0000_s6614" inset="0,0,0,0">
              <w:txbxContent>
                <w:p w:rsidR="003427DA" w:rsidRDefault="003427DA">
                  <w:pPr>
                    <w:pStyle w:val="OCRStyle5"/>
                    <w:ind w:left="256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3427DA" w:rsidRDefault="003427DA">
                  <w:pPr>
                    <w:pStyle w:val="OCRStyle5"/>
                    <w:ind w:left="29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5" o:spid="_x0000_s1042" type="#_x0000_t202" style="position:absolute;left:0;text-align:left;margin-left:355.95pt;margin-top:669.1pt;width:129.5pt;height:37.6pt;z-index:15;mso-position-horizontal-relative:page;mso-position-vertical-relative:page" stroked="f">
            <v:textbox style="mso-next-textbox:#_x0000_s6615" inset="0,0,0,0">
              <w:txbxContent>
                <w:p w:rsidR="003427DA" w:rsidRDefault="003427DA">
                  <w:pPr>
                    <w:pStyle w:val="OCRStyle5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שניאור זלמן שזר</w:t>
                  </w:r>
                </w:p>
                <w:p w:rsidR="003427DA" w:rsidRDefault="003427DA">
                  <w:pPr>
                    <w:pStyle w:val="OCRStyle5"/>
                    <w:ind w:left="71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6616" o:spid="_x0000_s1043" type="#_x0000_t202" style="position:absolute;left:0;text-align:left;margin-left:92.05pt;margin-top:65.95pt;width:464.5pt;height:568.05pt;z-index:14;mso-position-horizontal-relative:page;mso-position-vertical-relative:page" stroked="f">
            <v:textbox style="mso-next-textbox:#_x0000_s661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16"/>
                    <w:gridCol w:w="1351"/>
                    <w:gridCol w:w="1378"/>
                  </w:tblGrid>
                  <w:tr w:rsidR="003427D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73. (1) לא ישתמש אדם שימוש כלשהו, שלא לצרכי דואר ישראל,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בסמל דואר ישראל כמתואר בתוספת הרביעית' או בסמל הדומה לו עד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כדי שאפשר לטעות בו ולראותו כסמל דואר ישראל, ולא ייצר אדם דבר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ובו סמל כאמור אלא בהיתר מאת שר הדואר ולפי תנאי ההיתר.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העובר על הוראת סעיף זה, דינו - מאסר שלושה חדשים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קנס -.1,000 ל"י."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''הגנה על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סמל הדואר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27DA" w:rsidRPr="003427DA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3427DA" w:rsidRP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אחרי סעיף 79 לפקודה יבוא: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79א, 79ב ו-79ג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79א. העושה אחת מאלה: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מוסר מברק להעברה ביודעין שתכנו כוזב ובכוונה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להטריד או להרגיז;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משתמש בטלגרף במלים או באופן שיש בהם כדי לאיים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לפגוע שלא כדין, או ככוונה להטריד או להרגיז שלא כדין,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ששה חדשים.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"איסור הטרדה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כוי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79ב. המעשים המנויים בסעיף 79א, הם נזיקין אזרחיים, והוראות פקודת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הנזיקין האזרחיים, 1944, יחולו עליהם.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עוולה אזרחית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79ג. המשיג קשר טלגרף בתחבולה כדי להשתמש מתשלום תמורתו,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שלושה חדשים."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תחבולה בהשגת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קשר טלגרף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3427DA" w:rsidRPr="003427DA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3427DA" w:rsidRP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בסעיף 84 לפקודה, במקום "שבע שנות עבודת פרך" יבוא "ששה חדשי מאסר".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84</w:t>
                        </w:r>
                      </w:p>
                    </w:tc>
                  </w:tr>
                  <w:tr w:rsidR="003427DA" w:rsidRPr="003427D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 xml:space="preserve"> 107 לפקודה יבוא: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108. שר הדואר רשאי לאצול מסמכויותיו לפי פקודה זו לאחר, למעט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הסמכות להתקין תקנות."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אחרי סעיף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"אצילה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108</w:t>
                        </w:r>
                      </w:p>
                    </w:tc>
                  </w:tr>
                  <w:tr w:rsidR="003427DA" w:rsidRPr="003427DA">
                    <w:trPr>
                      <w:jc w:val="right"/>
                    </w:trPr>
                    <w:tc>
                      <w:tcPr>
                        <w:tcW w:w="4184" w:type="pct"/>
                        <w:gridSpan w:val="2"/>
                      </w:tcPr>
                      <w:p w:rsid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18, אחרי התוספת השניה לפקודה יבוא: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"התוספת השלישית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11ד (1))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מכתב רשום, עד 24.50 ל"י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חבילה שמשקלה עד 3 ק"ג, עד 14.70 ל"י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חבילה שמשקלה למעלה מ-3 ק"ג עד 5 ק"ג, עד 24.50 ל"י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חבילה שמשקלה למעלה מ-5 ק"ג עד 10 ק"ג, עד 39.20 ל"י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בעד חבילה שמשקלה למעלה מ-10 ק"ג, עד 53.80 ל"י</w:t>
                        </w: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חוסמת התוס&amp;ת</w:t>
                        </w:r>
                      </w:p>
                      <w:p w:rsid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השלישית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והרביעית</w:t>
                        </w:r>
                      </w:p>
                    </w:tc>
                  </w:tr>
                  <w:tr w:rsidR="003427DA">
                    <w:trPr>
                      <w:jc w:val="right"/>
                    </w:trPr>
                    <w:tc>
                      <w:tcPr>
                        <w:tcW w:w="3384" w:type="pct"/>
                      </w:tcPr>
                      <w:p w:rsidR="003427DA" w:rsidRDefault="003427DA">
                        <w:pPr>
                          <w:pStyle w:val="OCRStyle5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התוספת הרביעית</w:t>
                        </w:r>
                      </w:p>
                      <w:p w:rsidR="003427DA" w:rsidRP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(סעיף 73)</w:t>
                        </w:r>
                      </w:p>
                    </w:tc>
                    <w:tc>
                      <w:tcPr>
                        <w:tcW w:w="800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16" w:type="pct"/>
                      </w:tcPr>
                      <w:p w:rsidR="003427DA" w:rsidRDefault="003427D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3427DA" w:rsidRDefault="003427D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A2178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178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A362AC0-26EC-450C-84CD-3384037D6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A21789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42FAC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3B6227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586B15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427D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2008-04-09T14:43:00Z</dcterms:created>
  <dcterms:modified xsi:type="dcterms:W3CDTF">2008-04-09T14:44:00Z</dcterms:modified>
</cp:coreProperties>
</file>