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2BA5" w:rsidRDefault="00FD2BA5">
      <w:pPr>
        <w:rPr>
          <w:rtl/>
        </w:rPr>
      </w:pPr>
    </w:p>
    <w:p w:rsidR="00FD2B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62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624" inset="0,0,0,0">
              <w:txbxContent>
                <w:p w:rsidR="00FD2BA5" w:rsidRDefault="00FD2BA5">
                  <w:r>
                    <w:rPr>
                      <w:rtl/>
                    </w:rPr>
                    <w:t>17                                           ספר החוקים 516                 כ"ה בכסליו התשכ"ח 27.12.1967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6625" o:spid="_x0000_s1026" type="#_x0000_t202" style="position:absolute;left:0;text-align:left;margin-left:130.05pt;margin-top:438.55pt;width:395.2pt;height:51.5pt;z-index:7;mso-wrap-style:none;mso-position-horizontal-relative:page;mso-position-vertical-relative:page" stroked="f">
            <v:textbox style="mso-next-textbox:#_x0000_s6625" inset="0,0,0,0">
              <w:txbxContent>
                <w:p w:rsidR="00FD2BA5" w:rsidRDefault="00FD2BA5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בכסלו תשכ"ה (19 בדצמבר 1967); הצעת החוק ודברי הסבר פורסמו בה''ח 743, תשכ"ז,</w:t>
                  </w:r>
                </w:p>
                <w:p w:rsidR="00FD2BA5" w:rsidRDefault="00FD2BA5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עמ' 216.</w:t>
                  </w:r>
                </w:p>
                <w:p w:rsidR="00FD2BA5" w:rsidRDefault="00FD2BA5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ב', פרק קט"ו, עמ' 1155; ס"ח תשי"א, עמ' 221; ס''ה תשט''ז, עמ' 87; ס"ח תשכ"ב, עמ' 103;</w:t>
                  </w:r>
                </w:p>
                <w:p w:rsidR="00FD2BA5" w:rsidRPr="00FD2BA5" w:rsidRDefault="00FD2BA5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ס"ח תשכ"ג, עמ' 44; ס"ח תשכ"ה, עמ' 44, עמי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6626" o:spid="_x0000_s1027" type="#_x0000_t202" style="position:absolute;left:0;text-align:left;margin-left:147.3pt;margin-top:372.2pt;width:134.25pt;height:31.9pt;z-index:6;mso-wrap-style:none;mso-position-horizontal-relative:page;mso-position-vertical-relative:page" stroked="f">
            <v:textbox style="mso-next-textbox:#_x0000_s6626" inset="0,0,0,0">
              <w:txbxContent>
                <w:p w:rsidR="00FD2BA5" w:rsidRDefault="00FD2BA5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ישראל ישעיהו-שרעבי</w:t>
                  </w:r>
                </w:p>
                <w:p w:rsidR="00FD2BA5" w:rsidRDefault="00FD2BA5">
                  <w:pPr>
                    <w:pStyle w:val="OCRStyle1"/>
                    <w:ind w:left="832"/>
                  </w:pPr>
                  <w:r>
                    <w:rPr>
                      <w:rtl/>
                    </w:rPr>
                    <w:t>שר הדואר</w:t>
                  </w:r>
                </w:p>
              </w:txbxContent>
            </v:textbox>
            <w10:wrap anchorx="page" anchory="page"/>
          </v:shape>
        </w:pict>
      </w:r>
      <w:r>
        <w:pict>
          <v:shape id="_x0000_s6627" o:spid="_x0000_s1028" type="#_x0000_t202" style="position:absolute;left:0;text-align:left;margin-left:409.85pt;margin-top:402.3pt;width:126.5pt;height:31.9pt;z-index:5;mso-wrap-style:none;mso-position-horizontal-relative:page;mso-position-vertical-relative:page" stroked="f">
            <v:textbox style="mso-next-textbox:#_x0000_s6627" inset="0,0,0,0">
              <w:txbxContent>
                <w:p w:rsidR="00FD2BA5" w:rsidRDefault="00FD2BA5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D2BA5" w:rsidRDefault="00FD2BA5">
                  <w:pPr>
                    <w:pStyle w:val="OCRStyle1"/>
                    <w:ind w:left="7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28" o:spid="_x0000_s1029" type="#_x0000_t202" style="position:absolute;left:0;text-align:left;margin-left:294.4pt;margin-top:369.65pt;width:110.3pt;height:32.65pt;z-index:4;mso-wrap-style:none;mso-position-horizontal-relative:page;mso-position-vertical-relative:page" stroked="f">
            <v:textbox style="mso-next-textbox:#_x0000_s6628" inset="0,0,0,0">
              <w:txbxContent>
                <w:p w:rsidR="00FD2BA5" w:rsidRDefault="00FD2BA5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D2BA5" w:rsidRDefault="00FD2BA5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29" o:spid="_x0000_s1030" type="#_x0000_t202" style="position:absolute;left:0;text-align:left;margin-left:137.8pt;margin-top:244.7pt;width:335.8pt;height:124.95pt;z-index:3;mso-wrap-style:none;mso-position-horizontal-relative:page;mso-position-vertical-relative:page" stroked="f">
            <v:textbox style="mso-next-textbox:#_x0000_s6629" inset="0,0,0,0">
              <w:txbxContent>
                <w:p w:rsidR="00FD2BA5" w:rsidRDefault="00FD2BA5">
                  <w:pPr>
                    <w:pStyle w:val="OCRStyle1"/>
                    <w:ind w:left="1739"/>
                    <w:rPr>
                      <w:rtl/>
                    </w:rPr>
                  </w:pPr>
                  <w:r>
                    <w:rPr>
                      <w:rtl/>
                    </w:rPr>
                    <w:t>"תוספת חמישית</w:t>
                  </w:r>
                </w:p>
                <w:p w:rsidR="00FD2BA5" w:rsidRDefault="00FD2BA5">
                  <w:pPr>
                    <w:pStyle w:val="OCRStyle1"/>
                    <w:ind w:left="2160"/>
                    <w:rPr>
                      <w:rtl/>
                    </w:rPr>
                  </w:pPr>
                  <w:r>
                    <w:rPr>
                      <w:rtl/>
                    </w:rPr>
                    <w:t>(סעיף 3)</w:t>
                  </w:r>
                </w:p>
                <w:p w:rsidR="00FD2BA5" w:rsidRDefault="00FD2BA5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1. קשר בין-עירוני בטלפון או בטלקס - אם האגרה נקבעת עקב</w:t>
                  </w:r>
                </w:p>
                <w:p w:rsidR="00FD2BA5" w:rsidRDefault="00FD2BA5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פתיחתן או סגירתן של מרכזות טלפון או טלקס או עקב שינוי בהן.</w:t>
                  </w:r>
                </w:p>
                <w:p w:rsidR="00FD2BA5" w:rsidRDefault="00FD2BA5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2. קשר בין-לאומי בטלפון או בטלקס' משלוח חבילה לחו"ל' משלוח</w:t>
                  </w:r>
                </w:p>
                <w:p w:rsidR="00FD2BA5" w:rsidRDefault="00FD2BA5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מברק לחו"ל' והכל אם האגרה נקבעת עקב הגדלתו או הקטנתו של אותו</w:t>
                  </w:r>
                </w:p>
                <w:p w:rsidR="00FD2BA5" w:rsidRPr="00FD2BA5" w:rsidRDefault="00FD2BA5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חלק מהאגרה המשתלם למוביל' למינהל דואר או למפעיל אחר בחו"ל".</w:t>
                  </w:r>
                </w:p>
              </w:txbxContent>
            </v:textbox>
            <w10:wrap anchorx="page" anchory="page"/>
          </v:shape>
        </w:pict>
      </w:r>
      <w:r>
        <w:pict>
          <v:shape id="_x0000_s6630" o:spid="_x0000_s1031" type="#_x0000_t202" style="position:absolute;left:0;text-align:left;margin-left:80.15pt;margin-top:104.5pt;width:444.1pt;height:138.6pt;z-index:2;mso-wrap-style:none;mso-position-horizontal-relative:page;mso-position-vertical-relative:page" stroked="f">
            <v:textbox style="mso-next-textbox:#_x0000_s6630" inset="0,0,0,0">
              <w:txbxContent>
                <w:tbl>
                  <w:tblPr>
                    <w:tblW w:w="47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7"/>
                    <w:gridCol w:w="5785"/>
                    <w:gridCol w:w="1151"/>
                  </w:tblGrid>
                  <w:tr w:rsidR="00FD2BA5" w:rsidRPr="00FD2BA5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FD2BA5" w:rsidRP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FD2BA5" w:rsidRP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לפקודת בתי הדואר 1 (להלן - הפקודה) יבוא:</w:t>
                        </w:r>
                      </w:p>
                    </w:tc>
                  </w:tr>
                  <w:tr w:rsidR="00FD2BA5" w:rsidRPr="00FD2BA5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83" w:type="pct"/>
                      </w:tcPr>
                      <w:p w:rsid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(1) שר הדואר' באישור ועדת הכספים של הכנסת, רשאי לקבוע</w:t>
                        </w:r>
                      </w:p>
                      <w:p w:rsid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האגרות בעד שירותי הדואר ושירותים אחרים שבהנהלתו ואת הנסיבות</w:t>
                        </w:r>
                      </w:p>
                      <w:p w:rsid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שבהן יוטלו, ובלבד שקביעת אגרות לשירותים המפורטים בתוספת</w:t>
                        </w:r>
                      </w:p>
                      <w:p w:rsid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החמישית אינה טעונה אישור כאמור.</w:t>
                        </w:r>
                      </w:p>
                      <w:p w:rsid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הדואר' באישור ועדת הכספים של הכנסת' רשאי לשנות</w:t>
                        </w:r>
                      </w:p>
                      <w:p w:rsid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התוספת החמישית."</w:t>
                        </w:r>
                      </w:p>
                    </w:tc>
                    <w:tc>
                      <w:tcPr>
                        <w:tcW w:w="713" w:type="pct"/>
                      </w:tcPr>
                      <w:p w:rsid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''סמכות לקבוע</w:t>
                        </w:r>
                      </w:p>
                      <w:p w:rsidR="00FD2BA5" w:rsidRP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FD2BA5" w:rsidRPr="00FD2BA5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חוטפת תוספת</w:t>
                        </w:r>
                      </w:p>
                      <w:p w:rsidR="00FD2BA5" w:rsidRP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חמישית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FD2BA5" w:rsidRPr="00FD2BA5" w:rsidRDefault="00FD2B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אחרי התוספת הרביעית לפקודה יבוא:</w:t>
                        </w:r>
                      </w:p>
                    </w:tc>
                  </w:tr>
                </w:tbl>
                <w:p w:rsidR="00FD2BA5" w:rsidRDefault="00FD2B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631" o:spid="_x0000_s1032" type="#_x0000_t202" style="position:absolute;left:0;text-align:left;margin-left:185.1pt;margin-top:82.15pt;width:309.1pt;height:22.35pt;z-index:1;mso-wrap-style:none;mso-position-horizontal-relative:page;mso-position-vertical-relative:page" stroked="f">
            <v:textbox style="mso-next-textbox:#_x0000_s6631" inset="0,0,0,0">
              <w:txbxContent>
                <w:p w:rsidR="00FD2BA5" w:rsidRPr="00FD2BA5" w:rsidRDefault="00FD2BA5">
                  <w:pPr>
                    <w:pStyle w:val="OCRStyle1"/>
                    <w:ind w:left="2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בתי הדואר (מס' 7), תשכ"ח-1967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D2B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FAEB74-6BBC-44D6-9778-FEE5CE28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2BA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2008-04-09T14:15:00Z</dcterms:created>
  <dcterms:modified xsi:type="dcterms:W3CDTF">2008-04-09T14:15:00Z</dcterms:modified>
</cp:coreProperties>
</file>