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38A8" w:rsidRDefault="004538A8">
      <w:pPr>
        <w:rPr>
          <w:rtl/>
        </w:rPr>
      </w:pPr>
    </w:p>
    <w:p w:rsidR="004538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664" inset="0,0,0,0">
              <w:txbxContent>
                <w:p w:rsidR="00652B8F" w:rsidRDefault="00652B8F">
                  <w:r>
                    <w:rPr>
                      <w:rtl/>
                    </w:rPr>
                    <w:t>135                                          ספר החוקים 283                 כ"ה בסיוון התשי"ט 01.07.1959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5" o:spid="_x0000_s1026" type="#_x0000_t202" style="position:absolute;left:0;text-align:left;margin-left:382.35pt;margin-top:728.3pt;width:168.3pt;height:22.2pt;z-index:7;mso-position-horizontal-relative:page;mso-position-vertical-relative:page" stroked="f">
            <v:textbox style="mso-next-textbox:#_x0000_s6665" inset="0,0,0,0">
              <w:txbxContent>
                <w:p w:rsidR="00652B8F" w:rsidRDefault="00652B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66" o:spid="_x0000_s1027" type="#_x0000_t202" style="position:absolute;left:0;text-align:left;margin-left:163.75pt;margin-top:669.7pt;width:388.5pt;height:33.05pt;z-index:6;mso-position-horizontal-relative:page;mso-position-vertical-relative:page" stroked="f">
            <v:textbox style="mso-next-textbox:#_x0000_s6666" inset="0,0,0,0">
              <w:txbxContent>
                <w:p w:rsidR="00652B8F" w:rsidRDefault="00652B8F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ט"ז בסיון תשי"ט (22 ביוני 1959); הצעת החוק ודברי הסבר נתפרסמו בה"ח 371, תשי"ט,</w:t>
                  </w:r>
                </w:p>
                <w:p w:rsidR="00652B8F" w:rsidRDefault="00652B8F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עמי 130.</w:t>
                  </w:r>
                </w:p>
                <w:p w:rsidR="00652B8F" w:rsidRPr="004538A8" w:rsidRDefault="00652B8F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ס"ח 179, תשט"ו,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7" o:spid="_x0000_s1028" type="#_x0000_t202" style="position:absolute;left:0;text-align:left;margin-left:178.6pt;margin-top:526.15pt;width:128.7pt;height:36.25pt;z-index:5;mso-position-horizontal-relative:page;mso-position-vertical-relative:page" stroked="f">
            <v:textbox style="mso-next-textbox:#_x0000_s6667" inset="0,0,0,0">
              <w:txbxContent>
                <w:p w:rsidR="00652B8F" w:rsidRDefault="00652B8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משה טולידאנו</w:t>
                  </w:r>
                </w:p>
                <w:p w:rsidR="00652B8F" w:rsidRDefault="00652B8F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8" o:spid="_x0000_s1029" type="#_x0000_t202" style="position:absolute;left:0;text-align:left;margin-left:331.25pt;margin-top:531.9pt;width:97.2pt;height:31.3pt;z-index:4;mso-position-horizontal-relative:page;mso-position-vertical-relative:page" stroked="f">
            <v:textbox style="mso-next-textbox:#_x0000_s6668" inset="0,0,0,0">
              <w:txbxContent>
                <w:p w:rsidR="00652B8F" w:rsidRDefault="00652B8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52B8F" w:rsidRDefault="00652B8F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9" o:spid="_x0000_s1030" type="#_x0000_t202" style="position:absolute;left:0;text-align:left;margin-left:442.55pt;margin-top:557.4pt;width:93.25pt;height:30.7pt;z-index:3;mso-position-horizontal-relative:page;mso-position-vertical-relative:page" stroked="f">
            <v:textbox style="mso-next-textbox:#_x0000_s6669" inset="0,0,0,0">
              <w:txbxContent>
                <w:p w:rsidR="00652B8F" w:rsidRDefault="00652B8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52B8F" w:rsidRDefault="00652B8F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0" o:spid="_x0000_s1031" type="#_x0000_t202" style="position:absolute;left:0;text-align:left;margin-left:101.75pt;margin-top:104.6pt;width:453pt;height:407.5pt;z-index:2;mso-position-horizontal-relative:page;mso-position-vertical-relative:page" stroked="f">
            <v:textbox style="mso-next-textbox:#_x0000_s667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5829"/>
                    <w:gridCol w:w="1245"/>
                  </w:tblGrid>
                  <w:tr w:rsidR="00652B8F" w:rsidRPr="004538A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הדיינים, תשט"ו-1955 1(להלן - החוק), במקום סעיף 16 יבוא סעיף זה:</w:t>
                        </w:r>
                      </w:p>
                    </w:tc>
                  </w:tr>
                  <w:tr w:rsidR="00652B8F" w:rsidRPr="004538A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דיין יצא לקיצבה -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בהגיעו לגיל שבעים, ואם היה רב ראשי לישראל או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אבות בתי דין - בהגיעו לגיל שבעים וחמש;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משקבעה ועדת המינויים, על יסוד הוות דעת רפואית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שקבעה הועדה, שמחמת מצב בריאותו נבצר ממנו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במילוי תפקידו.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דיין רשאי לצאת לקיצבה -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שכיהן עשרים שנה, אם הגיע לגיל ששים;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שכיהן חמש עשרה שנה, אם הגיע לגיל ששים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וחמש?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ביקש זאת ובקשתו אושרה על ידי ועדת המינויים.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כהונתו של דיין לענין סעיף קטן (ב) תצורף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תקופת כהונתו כדיין כל תקופת שירותו במדינה או במוסד אחר שועדת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אישרה אותו לענין זה, או מקצתה של תקופה זו,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כללים שקבעה ועדת הכספים."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</w:t>
                        </w:r>
                      </w:p>
                    </w:tc>
                  </w:tr>
                  <w:tr w:rsidR="00652B8F" w:rsidRPr="004538A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22א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22 לחוק יווסף סעיף זה:</w:t>
                        </w:r>
                      </w:p>
                    </w:tc>
                  </w:tr>
                  <w:tr w:rsidR="00652B8F" w:rsidRPr="004538A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מצא בית הדין המשמעתי שאין הדיין ראוי להמשיך בתפקידו, לא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הדיין זכאי לגימלה; ואולם אם נמצא הדיין אשם בהתנהגות בניגוד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לפסקאות (1) או (2) לסעיף 21 (א), ובית הדין המשמעתי הגיע, מטעמים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שיפרט, לידי מסקנה כי, אף על פי שהדיין אינו ראוי להמשיך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בתפקידו, מן הראוי שתשולם לו גימלה, רשאי הוא לקבוע את שיעור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שתשולם לדיין, ובלבד שלא תעלה על הסכום שהיה משתלם לו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החלטת הכנסת או ועדת הכספים לפי סעיף 17, אילו חדל מכהן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כיום בו הועבר מכהונתו."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 של</w:t>
                        </w:r>
                      </w:p>
                      <w:p w:rsidR="00652B8F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דיין שהועבר</w:t>
                        </w:r>
                      </w:p>
                      <w:p w:rsidR="00652B8F" w:rsidRPr="004538A8" w:rsidRDefault="00652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</w:tr>
                </w:tbl>
                <w:p w:rsidR="00652B8F" w:rsidRDefault="00652B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71" o:spid="_x0000_s1032" type="#_x0000_t202" style="position:absolute;left:0;text-align:left;margin-left:257.8pt;margin-top:78.05pt;width:218.6pt;height:26.35pt;z-index:1;mso-position-horizontal-relative:page;mso-position-vertical-relative:page" stroked="f">
            <v:textbox style="mso-next-textbox:#_x0000_s6671" inset="0,0,0,0">
              <w:txbxContent>
                <w:p w:rsidR="00652B8F" w:rsidRPr="004538A8" w:rsidRDefault="00652B8F">
                  <w:pPr>
                    <w:pStyle w:val="OCRStyle1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הדיינים (תיקון), תשי"ט-1959 *</w:t>
                  </w:r>
                </w:p>
              </w:txbxContent>
            </v:textbox>
            <w10:wrap anchorx="page" anchory="page"/>
          </v:shape>
        </w:pict>
      </w:r>
    </w:p>
    <w:p w:rsidR="00652B8F" w:rsidRDefault="00652B8F">
      <w:pPr>
        <w:rPr>
          <w:rtl/>
        </w:rPr>
      </w:pPr>
      <w:r>
        <w:rPr>
          <w:rtl/>
        </w:rPr>
        <w:br w:type="page"/>
      </w:r>
    </w:p>
    <w:p w:rsidR="00652B8F" w:rsidRDefault="00000000">
      <w:pPr>
        <w:rPr>
          <w:rtl/>
        </w:rPr>
      </w:pPr>
      <w:r>
        <w:pict>
          <v:shape id="_x0000_s667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672" inset="0,0,0,0">
              <w:txbxContent>
                <w:p w:rsidR="00652B8F" w:rsidRDefault="00652B8F">
                  <w:r>
                    <w:rPr>
                      <w:rtl/>
                    </w:rPr>
                    <w:t>136                                          ספר החוקים 283                 כ"ה בסיוון התשי"ט 01.07.1959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3" o:spid="_x0000_s1034" type="#_x0000_t202" style="position:absolute;left:0;text-align:left;margin-left:84.7pt;margin-top:721.95pt;width:139.2pt;height:27.3pt;z-index:9;mso-position-horizontal-relative:page;mso-position-vertical-relative:page" stroked="f">
            <v:textbox style="mso-next-textbox:#_x0000_s6673" inset="0,0,0,0">
              <w:txbxContent>
                <w:p w:rsidR="00652B8F" w:rsidRDefault="00652B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38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A36474-B40D-4E96-9788-FA25200C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38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52B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2008-04-06T19:23:00Z</dcterms:created>
  <dcterms:modified xsi:type="dcterms:W3CDTF">2008-04-06T19:23:00Z</dcterms:modified>
</cp:coreProperties>
</file>