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F292B" w:rsidRDefault="001F292B">
      <w:pPr>
        <w:rPr>
          <w:rtl/>
        </w:rPr>
      </w:pPr>
    </w:p>
    <w:p w:rsidR="001F292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68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6688" inset="0,0,0,0">
              <w:txbxContent>
                <w:p w:rsidR="00DD120B" w:rsidRDefault="00DD120B">
                  <w:r>
                    <w:rPr>
                      <w:rtl/>
                    </w:rPr>
                    <w:t>18                                           ספר החוקים 473                   כ"ו באדר התשכ"ו 18.03.1966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6689" o:spid="_x0000_s1026" type="#_x0000_t202" style="position:absolute;left:0;text-align:left;margin-left:96.1pt;margin-top:664.6pt;width:381.35pt;height:94.85pt;z-index:3;mso-position-horizontal-relative:page;mso-position-vertical-relative:page" stroked="f">
            <v:textbox style="mso-next-textbox:#_x0000_s6689" inset="0,0,0,0">
              <w:txbxContent>
                <w:p w:rsidR="00DD120B" w:rsidRDefault="00DD120B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באדר תשכ"ו (10 במרס 1966); הצעת החוק ודברי הסבר פורסמו בה''ח 663 ,תשכ''ה</w:t>
                  </w:r>
                </w:p>
                <w:p w:rsidR="00DD120B" w:rsidRDefault="00DD120B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עמי 290.</w:t>
                  </w:r>
                </w:p>
                <w:p w:rsidR="00DD120B" w:rsidRPr="001F292B" w:rsidRDefault="00DD120B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1 ס"ח תשט''ו, עמ' 68; ס"ח תשי"ט, עמ' 135; ס''ח תשכיר, עמ' 140.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6690" o:spid="_x0000_s1027" type="#_x0000_t202" style="position:absolute;left:0;text-align:left;margin-left:81.45pt;margin-top:106.05pt;width:478.75pt;height:550.85pt;z-index:2;mso-position-horizontal-relative:page;mso-position-vertical-relative:page" stroked="f">
            <v:textbox style="mso-next-textbox:#_x0000_s6690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22"/>
                    <w:gridCol w:w="1400"/>
                    <w:gridCol w:w="1386"/>
                  </w:tblGrid>
                  <w:tr w:rsidR="00DD120B" w:rsidRPr="001F292B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DD120B" w:rsidRDefault="00DD120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7 (ב) לחוק הדיינים, תשט"ו-11955 (להלן - החוק העיקרי), כמקום "שני</w:t>
                        </w:r>
                      </w:p>
                      <w:p w:rsidR="00DD120B" w:rsidRPr="001F292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הרבנים הראשיים לישראל" יבוא "כל אחד משני הרבנים הראשיים לישראל".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DD120B" w:rsidRPr="001F292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7</w:t>
                        </w:r>
                      </w:p>
                    </w:tc>
                  </w:tr>
                  <w:tr w:rsidR="00DD120B" w:rsidRPr="001F292B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DD120B" w:rsidRPr="001F292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 במקום סעיף 8 לחוק העיקרי יבוא-. 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DD120B" w:rsidRPr="001F292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8</w:t>
                        </w:r>
                      </w:p>
                    </w:tc>
                  </w:tr>
                  <w:tr w:rsidR="00DD120B">
                    <w:trPr>
                      <w:jc w:val="right"/>
                    </w:trPr>
                    <w:tc>
                      <w:tcPr>
                        <w:tcW w:w="3400" w:type="pct"/>
                      </w:tcPr>
                      <w:p w:rsidR="00DD120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שני הרבנים הראשיים לישראל ישמשו בתוקף תפקידם נשיאי</w:t>
                        </w:r>
                      </w:p>
                      <w:p w:rsidR="00DD120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הרבני הגדול;</w:t>
                        </w:r>
                      </w:p>
                      <w:p w:rsidR="00DD120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חדל אחד הרבנים הראשיים לכהן כדיין או שנבצר ממנו למלא</w:t>
                        </w:r>
                      </w:p>
                      <w:p w:rsidR="00DD120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תפקידיו, ישמש השני לבדו נשיא בית הדין הרבני הגדול; חדלו שני</w:t>
                        </w:r>
                      </w:p>
                      <w:p w:rsidR="00DD120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הרבנים הראשיים לישראל לכהן כדיינים או שנבצר מהם למלא תפקי-</w:t>
                        </w:r>
                      </w:p>
                      <w:p w:rsidR="00DD120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דיהם, יהיו סמכויות נשיא בית הדין הרבני הגדול נתונות לוותיק שבדייני</w:t>
                        </w:r>
                      </w:p>
                      <w:p w:rsidR="00DD120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הרבני הגדול, ובין בעלי ותק שווה - לקשיש שבהם.</w:t>
                        </w:r>
                      </w:p>
                      <w:p w:rsidR="00DD120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בית הדין הרבני הגדול ידון כלא פחות משלושה: החל הדיון</w:t>
                        </w:r>
                      </w:p>
                      <w:p w:rsidR="00DD120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מסויים לפני שלושה דיינים, רשאים הם להורות שהמשך הדיון</w:t>
                        </w:r>
                      </w:p>
                      <w:p w:rsidR="00DD120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לפני מספר בלתי זוגי גדול יותר של דיינים, ובהם הדיינים שהחלו</w:t>
                        </w:r>
                      </w:p>
                      <w:p w:rsidR="00DD120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בדיון.</w:t>
                        </w:r>
                      </w:p>
                      <w:p w:rsidR="00DD120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יושב בדין נשיא בית הדין הרבני הגדול, ישב הוא בראש בית</w:t>
                        </w:r>
                      </w:p>
                      <w:p w:rsidR="00DD120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הדין: בהרכב אחר ישב בראש הוותיק שבדייני אותו ההרכב, ובין בעלי</w:t>
                        </w:r>
                      </w:p>
                      <w:p w:rsidR="00DD120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ותק שווה - הקשיש שבהם.</w:t>
                        </w:r>
                      </w:p>
                      <w:p w:rsidR="00DD120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הדתות, בהסכמת הרבנים הראשיים לישראל, ימנה בכל</w:t>
                        </w:r>
                      </w:p>
                      <w:p w:rsidR="00DD120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 רבני אזורי אב בית דין או אבות בית דין מקרב הדיינים של אותו</w:t>
                        </w:r>
                      </w:p>
                      <w:p w:rsidR="00DD120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דין; נתמנו בבית דין רבני אזורי שני אבות בית דין או יותר, ימנה</w:t>
                        </w:r>
                      </w:p>
                      <w:p w:rsidR="00DD120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הדתות בהסכמת הרבנים הראשיים לישראל, אחד מאבות בית הדין</w:t>
                        </w:r>
                      </w:p>
                      <w:p w:rsidR="00DD120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לשמש ראש אבות בית הדין.</w:t>
                        </w:r>
                      </w:p>
                      <w:p w:rsidR="00DD120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בית דין רבני אזורי ידון בשלושה.</w:t>
                        </w:r>
                      </w:p>
                      <w:p w:rsidR="00DD120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יושב בדין ראש אבות בית הדין או אב בית דין, ישב הוא</w:t>
                        </w:r>
                      </w:p>
                      <w:p w:rsidR="00DD120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בראש בית הדין; בהרכב אחר ישב בראש הוותיק שבדייני אותו ההרכב,</w:t>
                        </w:r>
                      </w:p>
                      <w:p w:rsidR="00DD120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בעלי ותק שווה - הקשיש שבהם.</w:t>
                        </w:r>
                      </w:p>
                      <w:p w:rsidR="00DD120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לענין סעיף זה רואים את הוותק לפי תאריך מינויו של הדיין</w:t>
                        </w:r>
                      </w:p>
                      <w:p w:rsidR="00DD120B" w:rsidRPr="001F292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הדין הרבני הגדול או לבית דין רבני אזורי, הכל לפי הענין."</w:t>
                        </w:r>
                      </w:p>
                    </w:tc>
                    <w:tc>
                      <w:tcPr>
                        <w:tcW w:w="804" w:type="pct"/>
                      </w:tcPr>
                      <w:p w:rsidR="00DD120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''נשיאים, אבות</w:t>
                        </w:r>
                      </w:p>
                      <w:p w:rsidR="00DD120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בתי-דין והרכב</w:t>
                        </w:r>
                      </w:p>
                      <w:p w:rsidR="00DD120B" w:rsidRPr="001F292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הדין</w:t>
                        </w:r>
                      </w:p>
                    </w:tc>
                    <w:tc>
                      <w:tcPr>
                        <w:tcW w:w="796" w:type="pct"/>
                      </w:tcPr>
                      <w:p w:rsidR="00DD120B" w:rsidRDefault="00DD120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D120B" w:rsidRPr="001F292B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DD120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 בסעיף 27 לחוק העיקרי, במקום הסיפה החל מן המילים "שר הדתות רשאי" יבוא</w:t>
                        </w:r>
                      </w:p>
                      <w:p w:rsidR="00DD120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"שר הדתות רשאי, בהתייעצות עם הרבנים הראשיים לישראל ועם שר המשפטים, לקבוע</w:t>
                        </w:r>
                      </w:p>
                      <w:p w:rsidR="00DD120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-</w:t>
                        </w:r>
                      </w:p>
                      <w:p w:rsidR="00DD120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את סדרי הדיון בבית הדין המשמעתי;</w:t>
                        </w:r>
                      </w:p>
                      <w:p w:rsidR="00DD120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סדרי ייצוגם של בעלי דין לפני בתי דין רבניים על ידי מי שאינו</w:t>
                        </w:r>
                      </w:p>
                      <w:p w:rsidR="00DD120B" w:rsidRPr="001F292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עורך דין."</w:t>
                        </w:r>
                      </w:p>
                    </w:tc>
                    <w:tc>
                      <w:tcPr>
                        <w:tcW w:w="796" w:type="pct"/>
                      </w:tcPr>
                      <w:p w:rsidR="00DD120B" w:rsidRPr="001F292B" w:rsidRDefault="00DD1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</w:tr>
                </w:tbl>
                <w:p w:rsidR="00DD120B" w:rsidRDefault="00DD120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691" o:spid="_x0000_s1028" type="#_x0000_t202" style="position:absolute;left:0;text-align:left;margin-left:169.4pt;margin-top:69.8pt;width:246.1pt;height:26.75pt;z-index:1;mso-position-horizontal-relative:page;mso-position-vertical-relative:page" stroked="f">
            <v:textbox style="mso-next-textbox:#_x0000_s6691" inset="0,0,0,0">
              <w:txbxContent>
                <w:p w:rsidR="00DD120B" w:rsidRPr="001F292B" w:rsidRDefault="00DD120B">
                  <w:pPr>
                    <w:pStyle w:val="OCRStyle1"/>
                    <w:ind w:left="24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הדיינים (תיקון מס' 3), תשכ"ו-1966 *</w:t>
                  </w:r>
                </w:p>
              </w:txbxContent>
            </v:textbox>
            <w10:wrap anchorx="page" anchory="page"/>
          </v:shape>
        </w:pict>
      </w:r>
    </w:p>
    <w:p w:rsidR="0002359C" w:rsidRDefault="0002359C">
      <w:pPr>
        <w:rPr>
          <w:rtl/>
        </w:rPr>
      </w:pPr>
      <w:r>
        <w:rPr>
          <w:rtl/>
        </w:rPr>
        <w:br w:type="page"/>
      </w:r>
    </w:p>
    <w:p w:rsidR="0002359C" w:rsidRDefault="00000000">
      <w:pPr>
        <w:rPr>
          <w:rtl/>
        </w:rPr>
      </w:pPr>
      <w:r>
        <w:pict>
          <v:shape id="_x0000_s669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6692" inset="0,0,0,0">
              <w:txbxContent>
                <w:p w:rsidR="00DD120B" w:rsidRDefault="00DD120B">
                  <w:r>
                    <w:rPr>
                      <w:rtl/>
                    </w:rPr>
                    <w:t>19                                           ספר החוקים 473                   כ"ו באדר התשכ"ו 18.03.1966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6693" o:spid="_x0000_s1030" type="#_x0000_t202" style="position:absolute;left:0;text-align:left;margin-left:371.45pt;margin-top:712.6pt;width:173.85pt;height:23.15pt;z-index:9;mso-position-horizontal-relative:page;mso-position-vertical-relative:page" stroked="f">
            <v:textbox style="mso-next-textbox:#_x0000_s6693" inset="0,0,0,0">
              <w:txbxContent>
                <w:p w:rsidR="00DD120B" w:rsidRDefault="00DD120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6694" o:spid="_x0000_s1031" type="#_x0000_t202" style="position:absolute;left:0;text-align:left;margin-left:177.8pt;margin-top:205.5pt;width:96.45pt;height:37.05pt;z-index:8;mso-position-horizontal-relative:page;mso-position-vertical-relative:page" stroked="f">
            <v:textbox style="mso-next-textbox:#_x0000_s6694" inset="0,0,0,0">
              <w:txbxContent>
                <w:p w:rsidR="00DD120B" w:rsidRDefault="00DD120B">
                  <w:pPr>
                    <w:pStyle w:val="OCRStyle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זרח ורהפטיג</w:t>
                  </w:r>
                </w:p>
                <w:p w:rsidR="00DD120B" w:rsidRDefault="00DD120B">
                  <w:pPr>
                    <w:pStyle w:val="OCRStyle2"/>
                    <w:ind w:left="479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6695" o:spid="_x0000_s1032" type="#_x0000_t202" style="position:absolute;left:0;text-align:left;margin-left:291.5pt;margin-top:199.6pt;width:91.3pt;height:48.1pt;z-index:7;mso-position-horizontal-relative:page;mso-position-vertical-relative:page" stroked="f">
            <v:textbox style="mso-next-textbox:#_x0000_s6695" inset="0,0,0,0">
              <w:txbxContent>
                <w:p w:rsidR="00DD120B" w:rsidRDefault="00DD120B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D120B" w:rsidRDefault="00DD120B">
                  <w:pPr>
                    <w:pStyle w:val="OCRStyle2"/>
                    <w:ind w:left="19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696" o:spid="_x0000_s1033" type="#_x0000_t202" style="position:absolute;left:0;text-align:left;margin-left:428.3pt;margin-top:231.25pt;width:111.85pt;height:61.2pt;z-index:6;mso-position-horizontal-relative:page;mso-position-vertical-relative:page" stroked="f">
            <v:textbox style="mso-next-textbox:#_x0000_s6696" inset="0,0,0,0">
              <w:txbxContent>
                <w:p w:rsidR="00DD120B" w:rsidRDefault="00DD120B">
                  <w:pPr>
                    <w:pStyle w:val="OCRStyle2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קדיש לוז</w:t>
                  </w:r>
                </w:p>
                <w:p w:rsidR="00DD120B" w:rsidRDefault="00DD120B">
                  <w:pPr>
                    <w:pStyle w:val="OCRStyle2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DD120B" w:rsidRDefault="00DD120B">
                  <w:pPr>
                    <w:pStyle w:val="OCRStyle2"/>
                    <w:ind w:left="94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697" o:spid="_x0000_s1034" type="#_x0000_t202" style="position:absolute;left:0;text-align:left;margin-left:91.7pt;margin-top:69.5pt;width:456.2pt;height:123.15pt;z-index:5;mso-position-horizontal-relative:page;mso-position-vertical-relative:page" stroked="f">
            <v:textbox style="mso-next-textbox:#_x0000_s669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7"/>
                    <w:gridCol w:w="5642"/>
                    <w:gridCol w:w="1415"/>
                  </w:tblGrid>
                  <w:tr w:rsidR="00DD120B" w:rsidRPr="0002359C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DD120B" w:rsidRPr="0002359C" w:rsidRDefault="00DD1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29</w:t>
                        </w:r>
                      </w:p>
                    </w:tc>
                    <w:tc>
                      <w:tcPr>
                        <w:tcW w:w="4254" w:type="pct"/>
                        <w:gridSpan w:val="2"/>
                      </w:tcPr>
                      <w:p w:rsidR="00DD120B" w:rsidRPr="0002359C" w:rsidRDefault="00DD1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 אחרי סעיף 28 לחוק העיקרי יבוא:</w:t>
                        </w:r>
                      </w:p>
                    </w:tc>
                  </w:tr>
                  <w:tr w:rsidR="00DD120B" w:rsidRPr="0002359C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DD120B" w:rsidRDefault="00DD120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1" w:type="pct"/>
                        <w:vMerge w:val="restart"/>
                      </w:tcPr>
                      <w:p w:rsidR="00DD120B" w:rsidRDefault="00DD1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,29. (א) סמכויותיו ותפקידיו של רב ראשי לישראל לפי הסעיפים</w:t>
                        </w:r>
                      </w:p>
                      <w:p w:rsidR="00DD120B" w:rsidRDefault="00DD1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(א), 7 (ב), 8 (ד)' 9 (א)' 40 13' 18/ 19 ,23 (א) ו-27 יעמדו לו גם כשאינו</w:t>
                        </w:r>
                      </w:p>
                      <w:p w:rsidR="00DD120B" w:rsidRDefault="00DD1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מכהן כדיין.</w:t>
                        </w:r>
                      </w:p>
                      <w:p w:rsidR="00DD120B" w:rsidRDefault="00DD1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נתפנה מקומו של אחד הרבנים הראשיים לישראל' יהיו</w:t>
                        </w:r>
                      </w:p>
                      <w:p w:rsidR="00DD120B" w:rsidRDefault="00DD1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והתפקידים האמורים בסעיף קטן (א) נתונים לרב הראשי השני</w:t>
                        </w:r>
                      </w:p>
                      <w:p w:rsidR="00DD120B" w:rsidRDefault="00DD1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לבדו."</w:t>
                        </w:r>
                      </w:p>
                    </w:tc>
                    <w:tc>
                      <w:tcPr>
                        <w:tcW w:w="853" w:type="pct"/>
                      </w:tcPr>
                      <w:p w:rsidR="00DD120B" w:rsidRPr="0002359C" w:rsidRDefault="00DD1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"שמירת סמכויות</w:t>
                        </w:r>
                      </w:p>
                    </w:tc>
                  </w:tr>
                  <w:tr w:rsidR="00DD120B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DD120B" w:rsidRDefault="00DD120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1" w:type="pct"/>
                        <w:vMerge/>
                      </w:tcPr>
                      <w:p w:rsidR="00DD120B" w:rsidRDefault="00DD120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53" w:type="pct"/>
                      </w:tcPr>
                      <w:p w:rsidR="00DD120B" w:rsidRDefault="00DD120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D120B" w:rsidRDefault="00DD120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D120B" w:rsidRDefault="00DD120B">
      <w:pPr>
        <w:rPr>
          <w:rtl/>
        </w:rPr>
      </w:pPr>
      <w:r>
        <w:rPr>
          <w:rtl/>
        </w:rPr>
        <w:br w:type="page"/>
      </w:r>
    </w:p>
    <w:p w:rsidR="00DD120B" w:rsidRDefault="00000000">
      <w:pPr>
        <w:rPr>
          <w:rtl/>
        </w:rPr>
      </w:pPr>
      <w:r>
        <w:pict>
          <v:shape id="_x0000_s6698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6698" inset="0,0,0,0">
              <w:txbxContent>
                <w:p w:rsidR="00DD120B" w:rsidRDefault="00DD120B">
                  <w:r>
                    <w:rPr>
                      <w:rtl/>
                    </w:rPr>
                    <w:t>20                                           ספר החוקים 473                   כ"ו באדר התשכ"ו 18.03.1966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6699" o:spid="_x0000_s1036" type="#_x0000_t202" style="position:absolute;left:0;text-align:left;margin-left:84.65pt;margin-top:705.5pt;width:166.1pt;height:33.65pt;z-index:11;mso-position-horizontal-relative:page;mso-position-vertical-relative:page" stroked="f">
            <v:textbox style="mso-next-textbox:#_x0000_s6699" inset="0,0,0,0">
              <w:txbxContent>
                <w:p w:rsidR="00DD120B" w:rsidRDefault="00DD120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F292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F9A27DC-3F4C-4FD4-A71A-9C700E89C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F292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2359C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D120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2008-04-06T20:37:00Z</dcterms:created>
  <dcterms:modified xsi:type="dcterms:W3CDTF">2008-04-06T20:37:00Z</dcterms:modified>
</cp:coreProperties>
</file>