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0394" w:rsidRDefault="009F0394">
      <w:pPr>
        <w:rPr>
          <w:rtl/>
        </w:rPr>
      </w:pPr>
    </w:p>
    <w:p w:rsidR="009F039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74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746" inset="0,0,0,0">
              <w:txbxContent>
                <w:p w:rsidR="004E0B91" w:rsidRDefault="004E0B91">
                  <w:r>
                    <w:rPr>
                      <w:rtl/>
                    </w:rPr>
                    <w:t>6                                            ספר החוקים 470                   י"ט בשבט התשכ"ו 09.02.1966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6747" o:spid="_x0000_s1026" type="#_x0000_t202" style="position:absolute;left:0;text-align:left;margin-left:92.85pt;margin-top:651.65pt;width:398.55pt;height:81.75pt;z-index:3;mso-position-horizontal-relative:page;mso-position-vertical-relative:page" stroked="f">
            <v:textbox style="mso-next-textbox:#_x0000_s6747" inset="0,0,0,0">
              <w:txbxContent>
                <w:p w:rsidR="004E0B91" w:rsidRDefault="004E0B91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בשבט תשכ"ו (31 בינואר 1966); הצעת החוק ודברי הסבר פורסמו בה"ח 670 ,תשכ"ה</w:t>
                  </w:r>
                </w:p>
                <w:p w:rsidR="004E0B91" w:rsidRDefault="004E0B91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עמ' 372.</w:t>
                  </w:r>
                </w:p>
                <w:p w:rsidR="004E0B91" w:rsidRDefault="004E0B91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7, עמ' 173.</w:t>
                  </w:r>
                </w:p>
                <w:p w:rsidR="004E0B91" w:rsidRPr="009F0394" w:rsidRDefault="004E0B91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2 ס"ח 467, תשכ''ה, עמ' 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6748" o:spid="_x0000_s1027" type="#_x0000_t202" style="position:absolute;left:0;text-align:left;margin-left:94.45pt;margin-top:101.6pt;width:466.7pt;height:543.1pt;z-index:2;mso-position-horizontal-relative:page;mso-position-vertical-relative:page" stroked="f">
            <v:textbox style="mso-next-textbox:#_x0000_s674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0"/>
                    <w:gridCol w:w="1274"/>
                  </w:tblGrid>
                  <w:tr w:rsidR="004E0B91" w:rsidRPr="009F0394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E0B91" w:rsidRDefault="004E0B9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"שלט" - כל דבר שיש בו הודעה לרבים בדרך של כתב, דפוס, הדבקה, הצגה, הארה,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צביעה, חריטה וכיוצא באלה;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"דרך", "דרך עירונית", ו-"תמרור" - כמשמעותם בפקודת התעבורה1 והתקנות לפיה;</w:t>
                        </w:r>
                      </w:p>
                      <w:p w:rsidR="004E0B91" w:rsidRPr="009F0394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מחוזית" - כמשמעותה בחוק התכנון והבניה, תשכ"ה-21965.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E0B91" w:rsidRPr="009F0394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E0B91" w:rsidRPr="009F0394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לא יתקין אדם שלט בתוך מאה מטרים מצירה של דרך, שלא בהיתר לפי חוק זה</w:t>
                        </w:r>
                      </w:p>
                      <w:p w:rsidR="004E0B91" w:rsidRPr="009F0394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היתר), למעט דרך עירונית.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התקנת</w:t>
                        </w:r>
                      </w:p>
                      <w:p w:rsidR="004E0B91" w:rsidRPr="009F0394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שלטים</w:t>
                        </w:r>
                      </w:p>
                    </w:tc>
                  </w:tr>
                  <w:tr w:rsidR="004E0B91" w:rsidRPr="009F0394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הסמכות ליתן היתר היא, בתחום רשות מקומית - אותה רשות באישור הועדה המחר-</w:t>
                        </w:r>
                      </w:p>
                      <w:p w:rsidR="004E0B91" w:rsidRPr="009F0394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זית, ומחוץ לתחום רשות מקומית - הועדה המחוזית.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לתת</w:t>
                        </w:r>
                      </w:p>
                      <w:p w:rsidR="004E0B91" w:rsidRPr="009F0394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היתרים</w:t>
                        </w:r>
                      </w:p>
                    </w:tc>
                  </w:tr>
                  <w:tr w:rsidR="004E0B91" w:rsidRPr="009F0394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הועדה המחוזית תשתמש להפעלת סמכויותיה לפי חוק זה בועדת משנה שחבריה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יהיו: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 שר העבודה, יושב ראש;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שר התחבורה;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שר הפנים;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המשטרה;</w:t>
                        </w:r>
                      </w:p>
                      <w:p w:rsidR="004E0B91" w:rsidRPr="009F0394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שר החקלאות.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E0B91" w:rsidRPr="009F0394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משבה</w:t>
                        </w:r>
                      </w:p>
                    </w:tc>
                  </w:tr>
                  <w:tr w:rsidR="004E0B91" w:rsidRPr="009F0394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לא יינתן היתר אלא אם -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השלט נועד למניעת תאונות דרכים או למניעת שריפות;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השלט מורה על מציאותו של מפעל פלוני והוא מותקן בחצרי המפעל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בסמוך לו;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השלט מורה על מציאותו של אתר היסטורי, מקום קדוש או מקום מקודש;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המקום המיועד להתקנת השלט הוא בית אירוח, תחנת דלק או תחנת</w:t>
                        </w:r>
                      </w:p>
                      <w:p w:rsidR="004E0B91" w:rsidRPr="009F0394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אוטובוסים, ואין בו כדי להסיח את דעתו של הנוהג ברכב.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E0B91" w:rsidRPr="009F0394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להיתר</w:t>
                        </w:r>
                      </w:p>
                    </w:tc>
                  </w:tr>
                  <w:tr w:rsidR="004E0B91" w:rsidRPr="009F0394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לא תתיר ולא תאשר ועדת משנה התקנת שלט המורה -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אתר היסטורי - אלא לאחר התייעצות עם שר החינוך והתרבות או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שהשר הסמיכו לכך;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מקום קדוש או מקודש - אלא לאחר התייעצות עם שר הדתות או מי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שהשר הסמיכו לכך;</w:t>
                        </w:r>
                      </w:p>
                      <w:p w:rsidR="004E0B91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בענינים הנוגעים לבטיחות ותנועה בדרכים - אלא לאחר התייעצות עם</w:t>
                        </w:r>
                      </w:p>
                      <w:p w:rsidR="004E0B91" w:rsidRPr="009F0394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 או מי שהשר הסמיכו לכך.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4E0B91" w:rsidRPr="009F0394" w:rsidRDefault="004E0B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להיתר</w:t>
                        </w:r>
                      </w:p>
                    </w:tc>
                  </w:tr>
                </w:tbl>
                <w:p w:rsidR="004E0B91" w:rsidRDefault="004E0B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749" o:spid="_x0000_s1028" type="#_x0000_t202" style="position:absolute;left:0;text-align:left;margin-left:184.9pt;margin-top:67.95pt;width:208.3pt;height:28.5pt;z-index:1;mso-position-horizontal-relative:page;mso-position-vertical-relative:page" stroked="f">
            <v:textbox style="mso-next-textbox:#_x0000_s6749" inset="0,0,0,0">
              <w:txbxContent>
                <w:p w:rsidR="004E0B91" w:rsidRPr="009F0394" w:rsidRDefault="004E0B91">
                  <w:pPr>
                    <w:pStyle w:val="OCRStyle1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הדרכים (שילוט), תשכ"ו-1966*</w:t>
                  </w:r>
                </w:p>
              </w:txbxContent>
            </v:textbox>
            <w10:wrap anchorx="page" anchory="page"/>
          </v:shape>
        </w:pict>
      </w:r>
    </w:p>
    <w:p w:rsidR="004E0B91" w:rsidRDefault="004E0B91">
      <w:pPr>
        <w:rPr>
          <w:rtl/>
        </w:rPr>
      </w:pPr>
      <w:r>
        <w:rPr>
          <w:rtl/>
        </w:rPr>
        <w:br w:type="page"/>
      </w:r>
    </w:p>
    <w:p w:rsidR="004E0B91" w:rsidRDefault="00000000">
      <w:pPr>
        <w:rPr>
          <w:rtl/>
        </w:rPr>
      </w:pPr>
      <w:r>
        <w:pict>
          <v:shape id="_x0000_s675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6750" inset="0,0,0,0">
              <w:txbxContent>
                <w:p w:rsidR="004E0B91" w:rsidRDefault="004E0B91">
                  <w:r>
                    <w:rPr>
                      <w:rtl/>
                    </w:rPr>
                    <w:t>7                                            ספר החוקים 470                   י"ט בשבט התשכ"ו 09.02.1966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6751" o:spid="_x0000_s1030" type="#_x0000_t202" style="position:absolute;left:0;text-align:left;margin-left:361.3pt;margin-top:659.05pt;width:179.8pt;height:76.65pt;z-index:10;mso-position-horizontal-relative:page;mso-position-vertical-relative:page" stroked="f">
            <v:textbox style="mso-next-textbox:#_x0000_s6751" inset="0,0,0,0">
              <w:txbxContent>
                <w:p w:rsidR="004E0B91" w:rsidRDefault="004E0B91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3 חוקי א''י/ כרך בי/ פרק קל''ז/ עמ' 1374.</w:t>
                  </w:r>
                </w:p>
                <w:p w:rsidR="004E0B91" w:rsidRPr="004E0B91" w:rsidRDefault="004E0B91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4 חוקי א''י, כרך א', פרק א',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6752" o:spid="_x0000_s1031" type="#_x0000_t202" style="position:absolute;left:0;text-align:left;margin-left:430.4pt;margin-top:616.5pt;width:112.85pt;height:31.9pt;z-index:9;mso-position-horizontal-relative:page;mso-position-vertical-relative:page" stroked="f">
            <v:textbox style="mso-next-textbox:#_x0000_s6752" inset="0,0,0,0">
              <w:txbxContent>
                <w:p w:rsidR="004E0B91" w:rsidRDefault="004E0B91">
                  <w:pPr>
                    <w:pStyle w:val="OCRStyle2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E0B91" w:rsidRDefault="004E0B91">
                  <w:pPr>
                    <w:pStyle w:val="OCRStyle2"/>
                    <w:ind w:left="5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53" o:spid="_x0000_s1032" type="#_x0000_t202" style="position:absolute;left:0;text-align:left;margin-left:159.35pt;margin-top:578.65pt;width:110.9pt;height:32.65pt;z-index:8;mso-position-horizontal-relative:page;mso-position-vertical-relative:page" stroked="f">
            <v:textbox style="mso-next-textbox:#_x0000_s6753" inset="0,0,0,0">
              <w:txbxContent>
                <w:p w:rsidR="004E0B91" w:rsidRDefault="004E0B91">
                  <w:pPr>
                    <w:pStyle w:val="OCRStyle2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4E0B91" w:rsidRDefault="004E0B91">
                  <w:pPr>
                    <w:pStyle w:val="OCRStyle2"/>
                    <w:ind w:left="59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754" o:spid="_x0000_s1033" type="#_x0000_t202" style="position:absolute;left:0;text-align:left;margin-left:279.75pt;margin-top:580.25pt;width:74.05pt;height:31.9pt;z-index:7;mso-position-horizontal-relative:page;mso-position-vertical-relative:page" stroked="f">
            <v:textbox style="mso-next-textbox:#_x0000_s6754" inset="0,0,0,0">
              <w:txbxContent>
                <w:p w:rsidR="004E0B91" w:rsidRDefault="004E0B91">
                  <w:pPr>
                    <w:pStyle w:val="OCRStyle2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4E0B91" w:rsidRDefault="004E0B91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55" o:spid="_x0000_s1034" type="#_x0000_t202" style="position:absolute;left:0;text-align:left;margin-left:362.5pt;margin-top:578.65pt;width:76.65pt;height:35.25pt;z-index:6;mso-position-horizontal-relative:page;mso-position-vertical-relative:page" stroked="f">
            <v:textbox style="mso-next-textbox:#_x0000_s6755" inset="0,0,0,0">
              <w:txbxContent>
                <w:p w:rsidR="004E0B91" w:rsidRDefault="004E0B91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E0B91" w:rsidRDefault="004E0B91">
                  <w:pPr>
                    <w:pStyle w:val="OCRStyle2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56" o:spid="_x0000_s1035" type="#_x0000_t202" style="position:absolute;left:0;text-align:left;margin-left:97.2pt;margin-top:64.65pt;width:457.2pt;height:511.45pt;z-index:5;mso-position-horizontal-relative:page;mso-position-vertical-relative:page" stroked="f">
            <v:textbox style="mso-next-textbox:#_x0000_s67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200"/>
                  </w:tblGrid>
                  <w:tr w:rsidR="004E0B91" w:rsidRPr="004E0B91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היתר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היתר יכול שיהיה מותנה/ ומי שבתן אותו רשאי לבטלו בדרך שבה ניתן, אם פסקו או</w:t>
                        </w:r>
                      </w:p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נשתנו התנאים שהצדיקו נתינתו, או שנוצרו תנאים הנוגדים התקנתו.</w:t>
                        </w:r>
                      </w:p>
                    </w:tc>
                  </w:tr>
                  <w:tr w:rsidR="004E0B91" w:rsidRPr="004E0B91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סילוק שלט</w:t>
                        </w:r>
                      </w:p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שהותקן ללא</w:t>
                        </w:r>
                      </w:p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הותקן שלט ללא היתר' או שהופר תנאי שבהיתר, רשאי מי ששר העבודה</w:t>
                        </w:r>
                      </w:p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 לכך בהודעה ברשומות (להלן - הרשות), להרוס את השלט או להסירו, ובלבד</w:t>
                        </w:r>
                      </w:p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התראה לבעל השלט והוא לא הסירו תוך המועד שנקבע בהתראה.</w:t>
                        </w:r>
                      </w:p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הוסר שלט או נהרס כאמור בסעיף קטן (א), יחזיר בעל השלט לאוצר המדינה</w:t>
                        </w:r>
                      </w:p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ההוצאות שהוצאו להריסתו או הסרתו (להלן - הוצאות הסילוק); תעודה בכתב מאת</w:t>
                        </w:r>
                      </w:p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המעידה על סכום הוצאות הסילוק, תשמש ראיה לכאורה לתכנה.</w:t>
                        </w:r>
                      </w:p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פקודת המסים (גביה) 3 - למעט סעיף 12 שבה - תחול על גביית הוצאות הסי-</w:t>
                        </w:r>
                      </w:p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לוק; שר העבודה רשאי למנות אדם שיהיו לו הסמכויות של ממונה על המחוז ושל קצין</w:t>
                        </w:r>
                      </w:p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 לענין הפקודה האמורה, והוא ימלא לענין סעיף זה את התפקידים המוטלים על ממונה</w:t>
                        </w:r>
                      </w:p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המחוז וקצין מחוז לפי הפקודה האמורה.</w:t>
                        </w:r>
                      </w:p>
                    </w:tc>
                  </w:tr>
                  <w:tr w:rsidR="004E0B91" w:rsidRPr="004E0B91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עזר</w:t>
                        </w:r>
                      </w:p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הרשות, או מי שהוסמך לכך על ידיה, רשאים להיכנס בכל עת סבירה לכל חצרים</w:t>
                        </w:r>
                      </w:p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ולהשתמש כמידה סבירה של כוח לשם ביצוע סמכויותיה של הרשות לפי חוק זה.</w:t>
                        </w:r>
                      </w:p>
                    </w:tc>
                  </w:tr>
                  <w:tr w:rsidR="004E0B91" w:rsidRPr="004E0B91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שלטים מיוחדים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חוק זה לא יחול על שלט שנועד להזהיר מפני סכנה המצויה בחצרים שבהם מותקן</w:t>
                        </w:r>
                      </w:p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השלט, או שחובה להתקינו על פי חיקוק, ובלבד שאין בו, לפי דעת הרשות, כדי להסיח</w:t>
                        </w:r>
                      </w:p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הנוהג ברכב.</w:t>
                        </w:r>
                      </w:p>
                    </w:tc>
                  </w:tr>
                  <w:tr w:rsidR="004E0B91" w:rsidRPr="004E0B91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חוק זה יחול על שלטי המדינה, למעט שלטים שהתקינו צבא-הגנה לישראל או משטרת</w:t>
                        </w:r>
                      </w:p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ולמעט תמרורים.</w:t>
                        </w:r>
                      </w:p>
                    </w:tc>
                  </w:tr>
                  <w:tr w:rsidR="004E0B91" w:rsidRPr="004E0B91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 פקודת</w:t>
                        </w:r>
                      </w:p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המודעות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פקודת המודעות 4 לא תחול על שלטים שהתקנתם טעונה היתר על פי חוק זה.</w:t>
                        </w:r>
                      </w:p>
                    </w:tc>
                  </w:tr>
                  <w:tr w:rsidR="004E0B91" w:rsidRPr="004E0B91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תוקף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אין באמור בחוק זה כדי לגרוע מהוראות סעיף 70 לפקודת התעבורה או מהוראות חוק</w:t>
                        </w:r>
                      </w:p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והבניה, תשכ"ה-1965, והוא בא להוסיף על חיובים שהוטלו וסמכויות שהוענקו</w:t>
                        </w:r>
                      </w:p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בחיקוקים אחרים ולא לגרוע מהם.</w:t>
                        </w:r>
                      </w:p>
                    </w:tc>
                  </w:tr>
                  <w:tr w:rsidR="004E0B91" w:rsidRPr="004E0B91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חוק זה לא יחול על שלטים שהיו מותקנים ערב תחילתו/ אלא כתום ששה חדשים</w:t>
                        </w:r>
                      </w:p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ברשומות.</w:t>
                        </w:r>
                      </w:p>
                    </w:tc>
                  </w:tr>
                  <w:tr w:rsidR="004E0B91" w:rsidRPr="004E0B91">
                    <w:trPr>
                      <w:jc w:val="right"/>
                    </w:trPr>
                    <w:tc>
                      <w:tcPr>
                        <w:tcW w:w="669" w:type="pct"/>
                      </w:tcPr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1" w:type="pct"/>
                      </w:tcPr>
                      <w:p w:rsid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שר העבודה ושר הפנים ממונים על ביצוע חוק זה, והם רשאים להתקין יחדיו תקנות</w:t>
                        </w:r>
                      </w:p>
                      <w:p w:rsidR="004E0B91" w:rsidRPr="004E0B91" w:rsidRDefault="004E0B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4E0B91" w:rsidRDefault="004E0B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039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AB7892-B9AC-4C5C-A001-28718FA6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039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E0B9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2008-04-06T20:37:00Z</dcterms:created>
  <dcterms:modified xsi:type="dcterms:W3CDTF">2008-04-06T20:37:00Z</dcterms:modified>
</cp:coreProperties>
</file>