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A3EBE" w:rsidRDefault="003A3EBE">
      <w:pPr>
        <w:rPr>
          <w:rtl/>
        </w:rPr>
      </w:pPr>
    </w:p>
    <w:p w:rsidR="003A3EB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75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6757" inset="0,0,0,0">
              <w:txbxContent>
                <w:p w:rsidR="008D50E3" w:rsidRDefault="008D50E3">
                  <w:r>
                    <w:rPr>
                      <w:rtl/>
                    </w:rPr>
                    <w:t>80                                           ספר החוקים 931                   א' בניסן התשל"ט 29.03.1979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6758" o:spid="_x0000_s1026" type="#_x0000_t202" style="position:absolute;left:0;text-align:left;margin-left:92.95pt;margin-top:682.25pt;width:388.3pt;height:66.35pt;z-index:3;mso-position-horizontal-relative:page;mso-position-vertical-relative:page" stroked="f">
            <v:textbox style="mso-next-textbox:#_x0000_s6758" inset="0,0,0,0">
              <w:txbxContent>
                <w:p w:rsidR="008D50E3" w:rsidRDefault="008D50E3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 באדר תשל"ט (19 במרס 1979); הצעת החוק ודברי הסבר פורסמו בה"ח 1366,</w:t>
                  </w:r>
                </w:p>
                <w:p w:rsidR="008D50E3" w:rsidRDefault="008D50E3">
                  <w:pPr>
                    <w:pStyle w:val="OCRStyle1"/>
                    <w:ind w:left="41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תשל'ח, עמ' 349.</w:t>
                  </w:r>
                </w:p>
                <w:p w:rsidR="008D50E3" w:rsidRPr="003A3EBE" w:rsidRDefault="008D50E3">
                  <w:pPr>
                    <w:pStyle w:val="OCRStyle1"/>
                    <w:ind w:left="29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תשכ"ו, עמ' 6.</w:t>
                  </w:r>
                </w:p>
              </w:txbxContent>
            </v:textbox>
            <w10:wrap anchorx="page" anchory="page"/>
          </v:shape>
        </w:pict>
      </w:r>
      <w:r>
        <w:pict>
          <v:shape id="_x0000_s6759" o:spid="_x0000_s1027" type="#_x0000_t202" style="position:absolute;left:0;text-align:left;margin-left:97.3pt;margin-top:119.35pt;width:458.95pt;height:559.55pt;z-index:2;mso-position-horizontal-relative:page;mso-position-vertical-relative:page" stroked="f">
            <v:textbox style="mso-next-textbox:#_x0000_s675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09"/>
                    <w:gridCol w:w="1446"/>
                    <w:gridCol w:w="1192"/>
                  </w:tblGrid>
                  <w:tr w:rsidR="008D50E3" w:rsidRPr="003A3EBE">
                    <w:trPr>
                      <w:jc w:val="right"/>
                    </w:trPr>
                    <w:tc>
                      <w:tcPr>
                        <w:tcW w:w="4286" w:type="pct"/>
                        <w:gridSpan w:val="2"/>
                      </w:tcPr>
                      <w:p w:rsidR="008D50E3" w:rsidRDefault="008D50E3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 . כסעיף 1 לחוק הדרכים (שילוט), תשכ"ו-11966 (להלן - החוק העיקרי) -</w:t>
                        </w:r>
                      </w:p>
                      <w:p w:rsidR="008D50E3" w:rsidRDefault="008D5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כהגדרת "שלט", כסופה יבוא "לרבות כל מיתקן הנושא את ההודעה</w:t>
                        </w:r>
                      </w:p>
                      <w:p w:rsidR="008D50E3" w:rsidRDefault="008D5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והמשמש לצורך זה כלבד";</w:t>
                        </w:r>
                      </w:p>
                      <w:p w:rsidR="008D50E3" w:rsidRDefault="008D5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הגדרת "שלט" יבוא:</w:t>
                        </w:r>
                      </w:p>
                      <w:p w:rsidR="008D50E3" w:rsidRDefault="008D5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""בעל שלט" -- מי שהזמין את הכנת השלט או התקנתו וכן כל אדם</w:t>
                        </w:r>
                      </w:p>
                      <w:p w:rsidR="008D50E3" w:rsidRDefault="008D5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האחראי להתקנת השלט או שהוא הבעל או המחזיק של הצרים שבהם</w:t>
                        </w:r>
                      </w:p>
                      <w:p w:rsidR="008D50E3" w:rsidRDefault="008D5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הותקן השלט; לענין זה, אדם שתוכן השלט מצביע עליו כעל מי</w:t>
                        </w:r>
                      </w:p>
                      <w:p w:rsidR="008D50E3" w:rsidRDefault="008D5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שהזמין את הכנתו או התקנתו, יראו אותו כמי שהזמינו כאמור כי עוד</w:t>
                        </w:r>
                      </w:p>
                      <w:p w:rsidR="008D50E3" w:rsidRDefault="008D5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הוכיח היפוכו של דברן".</w:t>
                        </w:r>
                      </w:p>
                      <w:p w:rsidR="008D50E3" w:rsidRDefault="008D5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הגדרת "דרך" יבוא:</w:t>
                        </w:r>
                      </w:p>
                      <w:p w:rsidR="008D50E3" w:rsidRPr="003A3EBE" w:rsidRDefault="008D5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""דרך בין-עירונית" - דרך שאינה דרך עירונית;".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8D50E3" w:rsidRPr="003A3EBE" w:rsidRDefault="008D50E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8D50E3" w:rsidRPr="003A3EBE">
                    <w:trPr>
                      <w:jc w:val="right"/>
                    </w:trPr>
                    <w:tc>
                      <w:tcPr>
                        <w:tcW w:w="4286" w:type="pct"/>
                        <w:gridSpan w:val="2"/>
                      </w:tcPr>
                      <w:p w:rsidR="008D50E3" w:rsidRPr="003A3EBE" w:rsidRDefault="008D5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במקום סעיף 2 לחוק העיקרי יבוא:</w:t>
                        </w:r>
                      </w:p>
                    </w:tc>
                    <w:tc>
                      <w:tcPr>
                        <w:tcW w:w="714" w:type="pct"/>
                      </w:tcPr>
                      <w:p w:rsidR="008D50E3" w:rsidRPr="003A3EBE" w:rsidRDefault="008D50E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</w:t>
                        </w:r>
                      </w:p>
                    </w:tc>
                  </w:tr>
                  <w:tr w:rsidR="008D50E3">
                    <w:trPr>
                      <w:jc w:val="right"/>
                    </w:trPr>
                    <w:tc>
                      <w:tcPr>
                        <w:tcW w:w="3420" w:type="pct"/>
                      </w:tcPr>
                      <w:p w:rsidR="008D50E3" w:rsidRDefault="008D50E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לא יתקין אדם שלט הנראה לעיני מי שנוהג בדרך כין-עירונית אלא</w:t>
                        </w:r>
                      </w:p>
                      <w:p w:rsidR="008D50E3" w:rsidRDefault="008D5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נתמלאו שני אלה:</w:t>
                        </w:r>
                      </w:p>
                      <w:p w:rsidR="008D50E3" w:rsidRDefault="008D5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ניתן לכך היתר לפי חוק זה (להלן - היתר);</w:t>
                        </w:r>
                      </w:p>
                      <w:p w:rsidR="008D50E3" w:rsidRDefault="008D5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צויין על גבי השלט שמו של מי שהזמין את הכנת</w:t>
                        </w:r>
                      </w:p>
                      <w:p w:rsidR="008D50E3" w:rsidRPr="003A3EBE" w:rsidRDefault="008D5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השלט או את התקנתו."</w:t>
                        </w:r>
                      </w:p>
                    </w:tc>
                    <w:tc>
                      <w:tcPr>
                        <w:tcW w:w="866" w:type="pct"/>
                      </w:tcPr>
                      <w:p w:rsidR="008D50E3" w:rsidRDefault="008D5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"איסור התקנת</w:t>
                        </w:r>
                      </w:p>
                      <w:p w:rsidR="008D50E3" w:rsidRPr="003A3EBE" w:rsidRDefault="008D50E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שלטים</w:t>
                        </w:r>
                      </w:p>
                    </w:tc>
                    <w:tc>
                      <w:tcPr>
                        <w:tcW w:w="714" w:type="pct"/>
                      </w:tcPr>
                      <w:p w:rsidR="008D50E3" w:rsidRDefault="008D50E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D50E3" w:rsidRPr="003A3EBE">
                    <w:trPr>
                      <w:jc w:val="right"/>
                    </w:trPr>
                    <w:tc>
                      <w:tcPr>
                        <w:tcW w:w="4286" w:type="pct"/>
                        <w:gridSpan w:val="2"/>
                      </w:tcPr>
                      <w:p w:rsidR="008D50E3" w:rsidRDefault="008D50E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4 לחוק העיקרי -</w:t>
                        </w:r>
                      </w:p>
                      <w:p w:rsidR="008D50E3" w:rsidRDefault="008D5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כמקום "נציג שר העבודה" יבוא "נציג שר הבינוי והשיכון";</w:t>
                        </w:r>
                      </w:p>
                      <w:p w:rsidR="008D50E3" w:rsidRDefault="008D5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(3) יבוא:</w:t>
                        </w:r>
                      </w:p>
                      <w:p w:rsidR="008D50E3" w:rsidRDefault="008D5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שני נציגים של שר הפנים שאחד מהם יהיה קצין</w:t>
                        </w:r>
                      </w:p>
                      <w:p w:rsidR="008D50E3" w:rsidRDefault="008D5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משטרה;"</w:t>
                        </w:r>
                      </w:p>
                      <w:p w:rsidR="008D50E3" w:rsidRPr="003A3EBE" w:rsidRDefault="008D5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פסקה (4) - תימחק, ופסקה (5) תסומן (4).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8D50E3" w:rsidRPr="003A3EBE" w:rsidRDefault="008D50E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8D50E3" w:rsidRPr="003A3EBE">
                    <w:trPr>
                      <w:jc w:val="right"/>
                    </w:trPr>
                    <w:tc>
                      <w:tcPr>
                        <w:tcW w:w="4286" w:type="pct"/>
                        <w:gridSpan w:val="2"/>
                      </w:tcPr>
                      <w:p w:rsidR="008D50E3" w:rsidRPr="003A3EBE" w:rsidRDefault="008D5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כמקום סעיף 5 לחוק העיקרי יבוא:</w:t>
                        </w:r>
                      </w:p>
                    </w:tc>
                    <w:tc>
                      <w:tcPr>
                        <w:tcW w:w="714" w:type="pct"/>
                      </w:tcPr>
                      <w:p w:rsidR="008D50E3" w:rsidRPr="003A3EBE" w:rsidRDefault="008D50E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5</w:t>
                        </w:r>
                      </w:p>
                    </w:tc>
                  </w:tr>
                  <w:tr w:rsidR="008D50E3">
                    <w:trPr>
                      <w:jc w:val="right"/>
                    </w:trPr>
                    <w:tc>
                      <w:tcPr>
                        <w:tcW w:w="3420" w:type="pct"/>
                      </w:tcPr>
                      <w:p w:rsidR="008D50E3" w:rsidRDefault="008D50E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לא יינתן היתר אלא אם אין כשלט זולת -</w:t>
                        </w:r>
                      </w:p>
                      <w:p w:rsidR="008D50E3" w:rsidRDefault="008D5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אזהרה או הודעה הנועדת למניעת תאונות דרכים, שרי-</w:t>
                        </w:r>
                      </w:p>
                      <w:p w:rsidR="008D50E3" w:rsidRDefault="008D5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פות, לכלוך או השלכת פסולת;</w:t>
                        </w:r>
                      </w:p>
                      <w:p w:rsidR="008D50E3" w:rsidRDefault="008D5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הוראה על מציאותו של מפעל, בית מלאכה או כל בית</w:t>
                        </w:r>
                      </w:p>
                      <w:p w:rsidR="008D50E3" w:rsidRDefault="008D5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 אחר (להלן - עסק), והשלט מותקן כחצרי העסק;</w:t>
                        </w:r>
                      </w:p>
                      <w:p w:rsidR="008D50E3" w:rsidRDefault="008D5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הוראה על מציאותו של מקום קדוש או מקודש, אתר</w:t>
                        </w:r>
                      </w:p>
                      <w:p w:rsidR="008D50E3" w:rsidRDefault="008D5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 או הסטורי, אתר זכרון והנצחה, גן לאומי או שמורת</w:t>
                        </w:r>
                      </w:p>
                      <w:p w:rsidR="008D50E3" w:rsidRPr="003A3EBE" w:rsidRDefault="008D5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טבע."</w:t>
                        </w:r>
                      </w:p>
                    </w:tc>
                    <w:tc>
                      <w:tcPr>
                        <w:tcW w:w="866" w:type="pct"/>
                      </w:tcPr>
                      <w:p w:rsidR="008D50E3" w:rsidRPr="003A3EBE" w:rsidRDefault="008D50E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"תנאי להיתר</w:t>
                        </w:r>
                      </w:p>
                    </w:tc>
                    <w:tc>
                      <w:tcPr>
                        <w:tcW w:w="714" w:type="pct"/>
                      </w:tcPr>
                      <w:p w:rsidR="008D50E3" w:rsidRDefault="008D50E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D50E3" w:rsidRPr="003A3EBE">
                    <w:trPr>
                      <w:jc w:val="right"/>
                    </w:trPr>
                    <w:tc>
                      <w:tcPr>
                        <w:tcW w:w="4286" w:type="pct"/>
                        <w:gridSpan w:val="2"/>
                      </w:tcPr>
                      <w:p w:rsidR="008D50E3" w:rsidRDefault="008D50E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כסעיף 6 לחוק העיקרי, אחרי פסקה (3) יבוא:</w:t>
                        </w:r>
                      </w:p>
                      <w:p w:rsidR="008D50E3" w:rsidRDefault="008D5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בענינים הנוגעים לאתר זכרון והנצחה - אלא לאחר</w:t>
                        </w:r>
                      </w:p>
                      <w:p w:rsidR="008D50E3" w:rsidRDefault="008D5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 עם שר הבטחון או שר החינוך והתרבות, לפי</w:t>
                        </w:r>
                      </w:p>
                      <w:p w:rsidR="008D50E3" w:rsidRPr="003A3EBE" w:rsidRDefault="008D50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הענין, או עם מי שאחד השרים האמורים הסמיכו לכך."</w:t>
                        </w:r>
                      </w:p>
                    </w:tc>
                    <w:tc>
                      <w:tcPr>
                        <w:tcW w:w="714" w:type="pct"/>
                      </w:tcPr>
                      <w:p w:rsidR="008D50E3" w:rsidRPr="003A3EBE" w:rsidRDefault="008D50E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</w:t>
                        </w:r>
                      </w:p>
                    </w:tc>
                  </w:tr>
                </w:tbl>
                <w:p w:rsidR="008D50E3" w:rsidRDefault="008D50E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760" o:spid="_x0000_s1028" type="#_x0000_t202" style="position:absolute;left:0;text-align:left;margin-left:169.6pt;margin-top:80.5pt;width:249.7pt;height:30.1pt;z-index:1;mso-position-horizontal-relative:page;mso-position-vertical-relative:page" stroked="f">
            <v:textbox style="mso-next-textbox:#_x0000_s6760" inset="0,0,0,0">
              <w:txbxContent>
                <w:p w:rsidR="008D50E3" w:rsidRPr="003A3EBE" w:rsidRDefault="008D50E3">
                  <w:pPr>
                    <w:pStyle w:val="OCRStyle1"/>
                    <w:ind w:left="18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הדרכים (שילוט) (תיקון), תשל"ט--1979 *</w:t>
                  </w:r>
                </w:p>
              </w:txbxContent>
            </v:textbox>
            <w10:wrap anchorx="page" anchory="page"/>
          </v:shape>
        </w:pict>
      </w:r>
    </w:p>
    <w:p w:rsidR="00FD7012" w:rsidRDefault="00FD7012">
      <w:pPr>
        <w:rPr>
          <w:rtl/>
        </w:rPr>
      </w:pPr>
      <w:r>
        <w:rPr>
          <w:rtl/>
        </w:rPr>
        <w:br w:type="page"/>
      </w:r>
    </w:p>
    <w:p w:rsidR="00FD7012" w:rsidRDefault="00000000">
      <w:pPr>
        <w:rPr>
          <w:rtl/>
        </w:rPr>
      </w:pPr>
      <w:r>
        <w:pict>
          <v:shape id="_x0000_s6761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6761" inset="0,0,0,0">
              <w:txbxContent>
                <w:p w:rsidR="008D50E3" w:rsidRDefault="008D50E3">
                  <w:r>
                    <w:rPr>
                      <w:rtl/>
                    </w:rPr>
                    <w:t>81                                           ספר החוקים 931                   א' בניסן התשל"ט 29.03.1979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6762" o:spid="_x0000_s1030" type="#_x0000_t202" style="position:absolute;left:0;text-align:left;margin-left:373.2pt;margin-top:698.55pt;width:170.5pt;height:59.4pt;z-index:6;mso-position-horizontal-relative:page;mso-position-vertical-relative:page" stroked="f">
            <v:textbox style="mso-next-textbox:#_x0000_s6762" inset="0,0,0,0">
              <w:txbxContent>
                <w:p w:rsidR="008D50E3" w:rsidRPr="00FD7012" w:rsidRDefault="008D50E3">
                  <w:pPr>
                    <w:pStyle w:val="OCRStyle2"/>
                    <w:ind w:left="349"/>
                  </w:pPr>
                  <w:r>
                    <w:rPr>
                      <w:rtl/>
                    </w:rPr>
                    <w:t>2 ס"ח תשכ"ג, עמ' 156.</w:t>
                  </w:r>
                </w:p>
              </w:txbxContent>
            </v:textbox>
            <w10:wrap anchorx="page" anchory="page"/>
          </v:shape>
        </w:pict>
      </w:r>
      <w:r>
        <w:pict>
          <v:shape id="_x0000_s6763" o:spid="_x0000_s1031" type="#_x0000_t202" style="position:absolute;left:0;text-align:left;margin-left:101.95pt;margin-top:90.7pt;width:444.3pt;height:604.3pt;z-index:5;mso-position-horizontal-relative:page;mso-position-vertical-relative:page" stroked="f">
            <v:textbox style="mso-next-textbox:#_x0000_s6763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08"/>
                    <w:gridCol w:w="5839"/>
                    <w:gridCol w:w="1231"/>
                  </w:tblGrid>
                  <w:tr w:rsidR="008D50E3" w:rsidRPr="00FD7012">
                    <w:trPr>
                      <w:jc w:val="right"/>
                    </w:trPr>
                    <w:tc>
                      <w:tcPr>
                        <w:tcW w:w="624" w:type="pct"/>
                      </w:tcPr>
                      <w:p w:rsidR="008D50E3" w:rsidRPr="00FD7012" w:rsidRDefault="008D50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  <w:tc>
                      <w:tcPr>
                        <w:tcW w:w="4376" w:type="pct"/>
                        <w:gridSpan w:val="2"/>
                      </w:tcPr>
                      <w:p w:rsidR="008D50E3" w:rsidRDefault="008D50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8 לחוק העיקרי -</w:t>
                        </w:r>
                      </w:p>
                      <w:p w:rsidR="008D50E3" w:rsidRDefault="008D50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כסעיף קטן (א), כמקום "ששר העכודה הסמיכו"  יבוא "ששר הכינוי</w:t>
                        </w:r>
                      </w:p>
                      <w:p w:rsidR="008D50E3" w:rsidRDefault="008D50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והשיכון הסמיכו'/ במקום "לבעל השלט והוא לא הסירו" יבוא "לכל בעלי</w:t>
                        </w:r>
                      </w:p>
                      <w:p w:rsidR="008D50E3" w:rsidRDefault="008D50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השלט והם לא הסירוהו", ובסופו יבוא "אולם רשאית הרשות להרוס או להסיר</w:t>
                        </w:r>
                      </w:p>
                      <w:p w:rsidR="008D50E3" w:rsidRDefault="008D50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השלט ללא מתן התראה אם לדעת הרשות הוא מסכן באופן מיידי את בטי-</w:t>
                        </w:r>
                      </w:p>
                      <w:p w:rsidR="008D50E3" w:rsidRDefault="008D50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חות הנמצאים בסביבתו או אם זהותם של בעלי השלט איננה ידועה ולא ניתן</w:t>
                        </w:r>
                      </w:p>
                      <w:p w:rsidR="008D50E3" w:rsidRDefault="008D50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לבררה מתוכן השלט";</w:t>
                        </w:r>
                      </w:p>
                      <w:p w:rsidR="008D50E3" w:rsidRDefault="008D50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כסעיף קטן (כ) כמקום "יחזיר בעל השלט" יבוא "יחזירו בעלי השלט'/</w:t>
                        </w:r>
                      </w:p>
                      <w:p w:rsidR="008D50E3" w:rsidRDefault="008D50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ובסופו יבוא "חיוב כעלי השלט לפי סעיף קטן זה יהיה יחד ולחוד";</w:t>
                        </w:r>
                      </w:p>
                      <w:p w:rsidR="008D50E3" w:rsidRDefault="008D50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(ג) יבוא:</w:t>
                        </w:r>
                      </w:p>
                      <w:p w:rsidR="008D50E3" w:rsidRDefault="008D50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"גד) שלט שהוסר יישמר בידי הרשות ולרשות תהיה זכות עכבון</w:t>
                        </w:r>
                      </w:p>
                      <w:p w:rsidR="008D50E3" w:rsidRDefault="008D50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כשלט כערובה לתשלום הוצאות הסילוק והשמירה; לא דרש בעל השלט</w:t>
                        </w:r>
                      </w:p>
                      <w:p w:rsidR="008D50E3" w:rsidRDefault="008D50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החזרתו תוך ששים יום מתום המועד שנקבע בהתראה לפי סעיף</w:t>
                        </w:r>
                      </w:p>
                      <w:p w:rsidR="008D50E3" w:rsidRPr="00FD7012" w:rsidRDefault="008D50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גא) רשאית הרשות למכור את השלט או לנהוג בו כראות עיניה."</w:t>
                        </w:r>
                      </w:p>
                    </w:tc>
                  </w:tr>
                  <w:tr w:rsidR="008D50E3" w:rsidRPr="00FD7012">
                    <w:trPr>
                      <w:jc w:val="right"/>
                    </w:trPr>
                    <w:tc>
                      <w:tcPr>
                        <w:tcW w:w="624" w:type="pct"/>
                        <w:vMerge w:val="restart"/>
                      </w:tcPr>
                      <w:p w:rsidR="008D50E3" w:rsidRDefault="008D50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8D50E3" w:rsidRPr="00FD7012" w:rsidRDefault="008D50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9א-9ד</w:t>
                        </w:r>
                      </w:p>
                    </w:tc>
                    <w:tc>
                      <w:tcPr>
                        <w:tcW w:w="4376" w:type="pct"/>
                        <w:gridSpan w:val="2"/>
                      </w:tcPr>
                      <w:p w:rsidR="008D50E3" w:rsidRPr="00FD7012" w:rsidRDefault="008D50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אחרי סעיף 9 לחוק העיקרי יבוא:</w:t>
                        </w:r>
                      </w:p>
                    </w:tc>
                  </w:tr>
                  <w:tr w:rsidR="008D50E3" w:rsidRPr="00FD7012">
                    <w:trPr>
                      <w:jc w:val="right"/>
                    </w:trPr>
                    <w:tc>
                      <w:tcPr>
                        <w:tcW w:w="624" w:type="pct"/>
                        <w:vMerge/>
                      </w:tcPr>
                      <w:p w:rsidR="008D50E3" w:rsidRDefault="008D50E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14" w:type="pct"/>
                      </w:tcPr>
                      <w:p w:rsidR="008D50E3" w:rsidRDefault="008D50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9א. (א) שלט שהותקן כשלא חל איסור על התקנתו ולאחר מכן נקבעה</w:t>
                        </w:r>
                      </w:p>
                      <w:p w:rsidR="008D50E3" w:rsidRDefault="008D50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קיימת כדרך בין-עירונית או נפתחה לתנועה דרך בין-עירונית</w:t>
                        </w:r>
                      </w:p>
                      <w:p w:rsidR="008D50E3" w:rsidRDefault="008D50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חדשה, והשלט נראה לעיני מי שנוהג בה, יראו כאילו הותקן ביום השלו-</w:t>
                        </w:r>
                      </w:p>
                      <w:p w:rsidR="008D50E3" w:rsidRDefault="008D50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שים לאחר קביעת הדרך או פתיחתה כאמור.</w:t>
                        </w:r>
                      </w:p>
                      <w:p w:rsidR="008D50E3" w:rsidRDefault="008D50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היתה זהותו של בעל השלט כאמור בסעיף קטן (א) ידועה או</w:t>
                        </w:r>
                      </w:p>
                      <w:p w:rsidR="008D50E3" w:rsidRDefault="008D50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שאפשר לבררה מתוכן השלט, לא יינקטו צעדים לפי חוק זה אלא אם</w:t>
                        </w:r>
                      </w:p>
                      <w:p w:rsidR="008D50E3" w:rsidRDefault="008D50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הודיעה לו הרשות כי הוא רשאי לבקש היתר בתוך המועד הקבוע כהודעה</w:t>
                        </w:r>
                      </w:p>
                      <w:p w:rsidR="008D50E3" w:rsidRDefault="008D50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ושאינו פחות משלושים יום מיום מסירתה, ואם ביקש תוך המועד - לא</w:t>
                        </w:r>
                      </w:p>
                      <w:p w:rsidR="008D50E3" w:rsidRDefault="008D50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יינקטו צעדים כאמור אלא אם הבקשה נדחתה ואלא לגבי הזמן לאחר</w:t>
                        </w:r>
                      </w:p>
                      <w:p w:rsidR="008D50E3" w:rsidRDefault="008D50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שלושים יום מיום שהודע לו על הדחיה.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8D50E3" w:rsidRDefault="008D50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"שלט שהסך</w:t>
                        </w:r>
                      </w:p>
                      <w:p w:rsidR="008D50E3" w:rsidRPr="00FD7012" w:rsidRDefault="008D50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אסור</w:t>
                        </w:r>
                      </w:p>
                    </w:tc>
                  </w:tr>
                  <w:tr w:rsidR="008D50E3" w:rsidRPr="00FD7012">
                    <w:trPr>
                      <w:jc w:val="right"/>
                    </w:trPr>
                    <w:tc>
                      <w:tcPr>
                        <w:tcW w:w="624" w:type="pct"/>
                      </w:tcPr>
                      <w:p w:rsidR="008D50E3" w:rsidRDefault="008D50E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14" w:type="pct"/>
                      </w:tcPr>
                      <w:p w:rsidR="008D50E3" w:rsidRDefault="008D50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9כ. (א) המתקין שלט בניגוד להוראות חוק זה או אינו מקיים תנאי</w:t>
                        </w:r>
                      </w:p>
                      <w:p w:rsidR="008D50E3" w:rsidRDefault="008D50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מתנאי ההיתר, דינו - קנס 75,000 לירות וכן קנס נוסף 1,500 לירות</w:t>
                        </w:r>
                      </w:p>
                      <w:p w:rsidR="008D50E3" w:rsidRDefault="008D50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יום שבו נמשכה העבירה לאחר תום המועד שנקבע כהתראה לפי</w:t>
                        </w:r>
                      </w:p>
                      <w:p w:rsidR="008D50E3" w:rsidRDefault="008D50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 סעיף 8 (א) או לאחר הרשעתו, ורשאי בית המשפט לצוות עליו להסיר</w:t>
                        </w:r>
                      </w:p>
                      <w:p w:rsidR="008D50E3" w:rsidRDefault="008D50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השלט.</w:t>
                        </w:r>
                      </w:p>
                      <w:p w:rsidR="008D50E3" w:rsidRDefault="008D50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המפריע לאדם שהוענקה לו סמכות לפי חוק זה להשתמש</w:t>
                        </w:r>
                      </w:p>
                      <w:p w:rsidR="008D50E3" w:rsidRDefault="008D50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בסמכותו, דינו - קנס 35,000 לירות.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8D50E3" w:rsidRPr="00FD7012" w:rsidRDefault="008D50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</w:tr>
                  <w:tr w:rsidR="008D50E3" w:rsidRPr="00FD7012">
                    <w:trPr>
                      <w:jc w:val="right"/>
                    </w:trPr>
                    <w:tc>
                      <w:tcPr>
                        <w:tcW w:w="624" w:type="pct"/>
                      </w:tcPr>
                      <w:p w:rsidR="008D50E3" w:rsidRDefault="008D50E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14" w:type="pct"/>
                      </w:tcPr>
                      <w:p w:rsidR="008D50E3" w:rsidRDefault="008D50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9ג. נעברה עבירה לפי חוק זה ניתן להאשים בה את כל אחד מבעלי1</w:t>
                        </w:r>
                      </w:p>
                      <w:p w:rsidR="008D50E3" w:rsidRDefault="008D50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השלט, ואם היה תאגיד - ניתן להאשים בעבירה גם כל אדם אשר בשעת</w:t>
                        </w:r>
                      </w:p>
                      <w:p w:rsidR="008D50E3" w:rsidRDefault="008D50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העבירה היה בתאגיד מנהל פעיל, שותף - למעט שותף מוגבל -</w:t>
                        </w:r>
                      </w:p>
                      <w:p w:rsidR="008D50E3" w:rsidRDefault="008D50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עובד האחראי להתקנת השלט או שהיה בעל שליטה בתאגיד, ולענין</w:t>
                        </w:r>
                      </w:p>
                      <w:p w:rsidR="008D50E3" w:rsidRDefault="008D50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שליטה --- כמשמעותה לפי סעיף 2 לחוק מס שכח מקרקעין, תשכ"ג-</w:t>
                        </w:r>
                      </w:p>
                      <w:p w:rsidR="008D50E3" w:rsidRDefault="008D50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1963 2: אולם תהא זו הגנה טובה לנאשם אם הוכיח שניים אלה;</w:t>
                        </w:r>
                      </w:p>
                      <w:p w:rsidR="008D50E3" w:rsidRDefault="008D50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ל1) העכירה נעכרה שלא בידיעתו;</w:t>
                        </w:r>
                      </w:p>
                      <w:p w:rsidR="008D50E3" w:rsidRDefault="008D50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נקט ככל האמצעים הסבירים למנוע את ביצוע</w:t>
                        </w:r>
                      </w:p>
                      <w:p w:rsidR="008D50E3" w:rsidRDefault="008D50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העכירה ואת המשכתה.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8D50E3" w:rsidRDefault="008D50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האחראים</w:t>
                        </w:r>
                      </w:p>
                      <w:p w:rsidR="008D50E3" w:rsidRPr="00FD7012" w:rsidRDefault="008D50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לעבירה</w:t>
                        </w:r>
                      </w:p>
                    </w:tc>
                  </w:tr>
                </w:tbl>
                <w:p w:rsidR="008D50E3" w:rsidRDefault="008D50E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D50E3" w:rsidRDefault="008D50E3">
      <w:pPr>
        <w:rPr>
          <w:rtl/>
        </w:rPr>
      </w:pPr>
      <w:r>
        <w:rPr>
          <w:rtl/>
        </w:rPr>
        <w:br w:type="page"/>
      </w:r>
    </w:p>
    <w:p w:rsidR="008D50E3" w:rsidRDefault="00000000">
      <w:pPr>
        <w:rPr>
          <w:rtl/>
        </w:rPr>
      </w:pPr>
      <w:r>
        <w:pict>
          <v:shape id="_x0000_s6764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6764" inset="0,0,0,0">
              <w:txbxContent>
                <w:p w:rsidR="008D50E3" w:rsidRDefault="008D50E3">
                  <w:r>
                    <w:rPr>
                      <w:rtl/>
                    </w:rPr>
                    <w:t>82                                           ספר החוקים 931                   א' בניסן התשל"ט 29.03.1979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6765" o:spid="_x0000_s1033" type="#_x0000_t202" style="position:absolute;left:0;text-align:left;margin-left:383.85pt;margin-top:397.7pt;width:81.75pt;height:12.1pt;z-index:13;mso-position-horizontal-relative:page;mso-position-vertical-relative:page" stroked="f">
            <v:textbox style="mso-next-textbox:#_x0000_s6765" inset="0,0,0,0">
              <w:txbxContent>
                <w:p w:rsidR="008D50E3" w:rsidRPr="008D50E3" w:rsidRDefault="008D50E3">
                  <w:pPr>
                    <w:pStyle w:val="OCRStyle3"/>
                    <w:ind w:left="83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3 ס"ח תשכ"ה, עמ' 161.</w:t>
                  </w:r>
                </w:p>
              </w:txbxContent>
            </v:textbox>
            <w10:wrap anchorx="page" anchory="page"/>
          </v:shape>
        </w:pict>
      </w:r>
      <w:r>
        <w:pict>
          <v:shape id="_x0000_s6766" o:spid="_x0000_s1034" type="#_x0000_t202" style="position:absolute;left:0;text-align:left;margin-left:412.15pt;margin-top:359.05pt;width:69.7pt;height:33.45pt;z-index:12;mso-position-horizontal-relative:page;mso-position-vertical-relative:page" stroked="f">
            <v:textbox style="mso-next-textbox:#_x0000_s6766" inset="0,0,0,0">
              <w:txbxContent>
                <w:p w:rsidR="008D50E3" w:rsidRDefault="008D50E3">
                  <w:pPr>
                    <w:pStyle w:val="OCRStyle3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8D50E3" w:rsidRDefault="008D50E3">
                  <w:pPr>
                    <w:pStyle w:val="OCRStyle3"/>
                    <w:ind w:left="23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767" o:spid="_x0000_s1035" type="#_x0000_t202" style="position:absolute;left:0;text-align:left;margin-left:99.7pt;margin-top:323.65pt;width:96.45pt;height:31.9pt;z-index:11;mso-position-horizontal-relative:page;mso-position-vertical-relative:page" stroked="f">
            <v:textbox style="mso-next-textbox:#_x0000_s6767" inset="0,0,0,0">
              <w:txbxContent>
                <w:p w:rsidR="008D50E3" w:rsidRDefault="008D50E3">
                  <w:pPr>
                    <w:pStyle w:val="OCRStyle3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דוד לוי</w:t>
                  </w:r>
                </w:p>
                <w:p w:rsidR="008D50E3" w:rsidRDefault="008D50E3">
                  <w:pPr>
                    <w:pStyle w:val="OCRStyle3"/>
                    <w:ind w:left="151"/>
                  </w:pPr>
                  <w:r>
                    <w:rPr>
                      <w:rtl/>
                    </w:rPr>
                    <w:t>שר הבינוי והשיכון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6768" o:spid="_x0000_s1036" type="#_x0000_t202" style="position:absolute;left:0;text-align:left;margin-left:223.65pt;margin-top:325.4pt;width:67.1pt;height:31.1pt;z-index:10;mso-position-horizontal-relative:page;mso-position-vertical-relative:page" stroked="f">
            <v:textbox style="mso-next-textbox:#_x0000_s6768" inset="0,0,0,0">
              <w:txbxContent>
                <w:p w:rsidR="008D50E3" w:rsidRDefault="008D50E3">
                  <w:pPr>
                    <w:pStyle w:val="OCRStyle3"/>
                    <w:ind w:left="29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8D50E3" w:rsidRDefault="008D50E3">
                  <w:pPr>
                    <w:pStyle w:val="OCRStyle3"/>
                    <w:ind w:left="187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6769" o:spid="_x0000_s1037" type="#_x0000_t202" style="position:absolute;left:0;text-align:left;margin-left:330.4pt;margin-top:323.65pt;width:77.4pt;height:29.3pt;z-index:9;mso-position-horizontal-relative:page;mso-position-vertical-relative:page" stroked="f">
            <v:textbox style="mso-next-textbox:#_x0000_s6769" inset="0,0,0,0">
              <w:txbxContent>
                <w:p w:rsidR="008D50E3" w:rsidRDefault="008D50E3">
                  <w:pPr>
                    <w:pStyle w:val="OCRStyle3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8D50E3" w:rsidRDefault="008D50E3">
                  <w:pPr>
                    <w:pStyle w:val="OCRStyle3"/>
                    <w:ind w:left="19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770" o:spid="_x0000_s1038" type="#_x0000_t202" style="position:absolute;left:0;text-align:left;margin-left:92pt;margin-top:78.3pt;width:458.75pt;height:244.55pt;z-index:8;mso-position-horizontal-relative:page;mso-position-vertical-relative:page" stroked="f">
            <v:textbox style="mso-next-textbox:#_x0000_s677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23"/>
                    <w:gridCol w:w="1228"/>
                    <w:gridCol w:w="1290"/>
                  </w:tblGrid>
                  <w:tr w:rsidR="008D50E3">
                    <w:trPr>
                      <w:jc w:val="right"/>
                    </w:trPr>
                    <w:tc>
                      <w:tcPr>
                        <w:tcW w:w="3491" w:type="pct"/>
                      </w:tcPr>
                      <w:p w:rsidR="008D50E3" w:rsidRDefault="008D50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9ד. גוף ציבורי שאישר שר הפנים בהודעה ברשומות רשאי להאשים</w:t>
                        </w:r>
                      </w:p>
                      <w:p w:rsidR="008D50E3" w:rsidRDefault="008D50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בעבירה לפי חוק זה על ידי הגשת קובלנה לבית המשפט; על קובלנה</w:t>
                        </w:r>
                      </w:p>
                      <w:p w:rsidR="008D50E3" w:rsidRDefault="008D50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יחולו הוראות סעיפים 63 עד 66 לחוק סדר הדין הפלילי, תשכ"ה-</w:t>
                        </w:r>
                      </w:p>
                      <w:p w:rsidR="008D50E3" w:rsidRDefault="008D50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1965 3."</w:t>
                        </w:r>
                      </w:p>
                    </w:tc>
                    <w:tc>
                      <w:tcPr>
                        <w:tcW w:w="736" w:type="pct"/>
                      </w:tcPr>
                      <w:p w:rsidR="008D50E3" w:rsidRPr="008D50E3" w:rsidRDefault="008D50E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קובלנה</w:t>
                        </w:r>
                      </w:p>
                    </w:tc>
                    <w:tc>
                      <w:tcPr>
                        <w:tcW w:w="773" w:type="pct"/>
                      </w:tcPr>
                      <w:p w:rsidR="008D50E3" w:rsidRDefault="008D50E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8D50E3" w:rsidRPr="008D50E3">
                    <w:trPr>
                      <w:jc w:val="right"/>
                    </w:trPr>
                    <w:tc>
                      <w:tcPr>
                        <w:tcW w:w="4227" w:type="pct"/>
                        <w:gridSpan w:val="2"/>
                      </w:tcPr>
                      <w:p w:rsidR="008D50E3" w:rsidRPr="008D50E3" w:rsidRDefault="008D50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במקום סעיף 15 לחוק העיקרי יבואן</w:t>
                        </w:r>
                      </w:p>
                    </w:tc>
                    <w:tc>
                      <w:tcPr>
                        <w:tcW w:w="773" w:type="pct"/>
                      </w:tcPr>
                      <w:p w:rsidR="008D50E3" w:rsidRPr="008D50E3" w:rsidRDefault="008D50E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 סעיף 15</w:t>
                        </w:r>
                      </w:p>
                    </w:tc>
                  </w:tr>
                  <w:tr w:rsidR="008D50E3">
                    <w:trPr>
                      <w:jc w:val="right"/>
                    </w:trPr>
                    <w:tc>
                      <w:tcPr>
                        <w:tcW w:w="3491" w:type="pct"/>
                      </w:tcPr>
                      <w:p w:rsidR="008D50E3" w:rsidRDefault="008D50E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שר הבינוי והשיכון ושר הפנים ממונים על ביצוע חוק זה, והם</w:t>
                        </w:r>
                      </w:p>
                      <w:p w:rsidR="008D50E3" w:rsidRDefault="008D50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רשאים להתקין יחדיו תקנות לביצועו, לרבות תקנות הקובעות? תקנים</w:t>
                        </w:r>
                      </w:p>
                      <w:p w:rsidR="008D50E3" w:rsidRDefault="008D50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גדלם, עיצובם וצורתם של שלטים ואופן התקנתם, ותקנות בדבר כל</w:t>
                        </w:r>
                      </w:p>
                      <w:p w:rsidR="008D50E3" w:rsidRPr="008D50E3" w:rsidRDefault="008D50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הסדרה אחרת של התקנת שלטים."</w:t>
                        </w:r>
                      </w:p>
                    </w:tc>
                    <w:tc>
                      <w:tcPr>
                        <w:tcW w:w="736" w:type="pct"/>
                      </w:tcPr>
                      <w:p w:rsidR="008D50E3" w:rsidRPr="008D50E3" w:rsidRDefault="008D50E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"ביצוע ותקנות</w:t>
                        </w:r>
                      </w:p>
                    </w:tc>
                    <w:tc>
                      <w:tcPr>
                        <w:tcW w:w="773" w:type="pct"/>
                      </w:tcPr>
                      <w:p w:rsidR="008D50E3" w:rsidRDefault="008D50E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8D50E3" w:rsidRPr="008D50E3">
                    <w:trPr>
                      <w:jc w:val="right"/>
                    </w:trPr>
                    <w:tc>
                      <w:tcPr>
                        <w:tcW w:w="4227" w:type="pct"/>
                        <w:gridSpan w:val="2"/>
                      </w:tcPr>
                      <w:p w:rsidR="008D50E3" w:rsidRDefault="008D50E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שלט שהותקן כדין לפני יום פרסומו של חוק זה ואין בידי בעלו היתר להתקנתו</w:t>
                        </w:r>
                      </w:p>
                      <w:p w:rsidR="008D50E3" w:rsidRDefault="008D50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5(1) או (3) לחוק העיקרי, יסירנו כעל השלט תוך ששה חדשים מיום הפרסום,</w:t>
                        </w:r>
                      </w:p>
                      <w:p w:rsidR="008D50E3" w:rsidRDefault="008D50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לא הסירו רשאית הרשות להסירו לאחר תום ששת החדשים האמורים, ובלבד שאם</w:t>
                        </w:r>
                      </w:p>
                      <w:p w:rsidR="008D50E3" w:rsidRDefault="008D50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ניתן לקבל היתר להתקנת השלט לפי סעיף 5 לחוק העיקרי והוגשה בקשה להיתר תוך ששים</w:t>
                        </w:r>
                      </w:p>
                      <w:p w:rsidR="008D50E3" w:rsidRDefault="008D50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מיום הפרסום, לא יוסר השלט אלא לאחר שלושים יום מיום דחיית הבקשה למתן</w:t>
                        </w:r>
                      </w:p>
                      <w:p w:rsidR="008D50E3" w:rsidRDefault="008D50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ההיתר.</w:t>
                        </w:r>
                      </w:p>
                      <w:p w:rsidR="008D50E3" w:rsidRDefault="008D50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8 (ד) לחוק העיקרי יחולו אף לגבי שלט שהוסר לפני תחילתו של</w:t>
                        </w:r>
                      </w:p>
                      <w:p w:rsidR="008D50E3" w:rsidRPr="008D50E3" w:rsidRDefault="008D50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8D50E3" w:rsidRPr="008D50E3" w:rsidRDefault="008D50E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8D50E3" w:rsidRDefault="008D50E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A3EB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A3EB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71B2F25-1557-4F4B-89DF-E8C111426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A3EBE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FD7012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8D50E3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2008-04-06T23:55:00Z</dcterms:created>
  <dcterms:modified xsi:type="dcterms:W3CDTF">2008-04-06T23:55:00Z</dcterms:modified>
</cp:coreProperties>
</file>