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4A12" w:rsidRDefault="00654A12">
      <w:pPr>
        <w:rPr>
          <w:rtl/>
        </w:rPr>
      </w:pPr>
    </w:p>
    <w:p w:rsidR="00654A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7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771" inset="0,0,0,0">
              <w:txbxContent>
                <w:p w:rsidR="00FE4A9F" w:rsidRDefault="00FE4A9F">
                  <w:r>
                    <w:rPr>
                      <w:rtl/>
                    </w:rPr>
                    <w:t>260                                          ספר החוקים 102                  כ"ד בתמוז התשי"ב 17.07.1952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6772" o:spid="_x0000_s1026" type="#_x0000_t202" style="position:absolute;left:0;text-align:left;margin-left:95.3pt;margin-top:768.7pt;width:179pt;height:17.8pt;z-index:4;mso-position-horizontal-relative:page;mso-position-vertical-relative:page" stroked="f">
            <v:textbox style="mso-next-textbox:#_x0000_s6772" inset="0,0,0,0">
              <w:txbxContent>
                <w:p w:rsidR="00FE4A9F" w:rsidRDefault="00FE4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73" o:spid="_x0000_s1027" type="#_x0000_t202" style="position:absolute;left:0;text-align:left;margin-left:89.55pt;margin-top:696pt;width:389.45pt;height:68.9pt;z-index:3;mso-position-horizontal-relative:page;mso-position-vertical-relative:page" stroked="f">
            <v:textbox style="mso-next-textbox:#_x0000_s6773" inset="0,0,0,0">
              <w:txbxContent>
                <w:p w:rsidR="00FE4A9F" w:rsidRDefault="00FE4A9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תשי"ב (7 ביולי 1952): הצעת החוק ודברי הסבר נתפרסמו בהצעות</w:t>
                  </w:r>
                </w:p>
                <w:p w:rsidR="00FE4A9F" w:rsidRDefault="00FE4A9F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119 מיום ד' בסיון תשי"ב (28.5.52), עמ' 242.</w:t>
                  </w:r>
                </w:p>
                <w:p w:rsidR="00FE4A9F" w:rsidRDefault="00FE4A9F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260 טיוט כ"ט בניסן תשי"ב (14.4.52), עט' 154.</w:t>
                  </w:r>
                </w:p>
                <w:p w:rsidR="00FE4A9F" w:rsidRDefault="00FE4A9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.. נתקבל בכנסת ביום ט"ו בתמוז תשי"ב (8 ביולי 1052); הצעת החוק ודברי הסבר נתפרסמו בהצעות</w:t>
                  </w:r>
                </w:p>
                <w:p w:rsidR="00FE4A9F" w:rsidRPr="00654A12" w:rsidRDefault="00FE4A9F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106 מיום א' באדר תשי"ב (27.2.52), עט'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74" o:spid="_x0000_s1028" type="#_x0000_t202" style="position:absolute;left:0;text-align:left;margin-left:89.55pt;margin-top:351.9pt;width:484.7pt;height:341.35pt;z-index:2;mso-position-horizontal-relative:page;mso-position-vertical-relative:page" stroked="f">
            <v:textbox style="mso-next-textbox:#_x0000_s677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8"/>
                    <w:gridCol w:w="1195"/>
                  </w:tblGrid>
                  <w:tr w:rsidR="00FE4A9F" w:rsidRPr="00654A12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"דרכון" פירושו - דרכון ישראלי שאינו דרכון דיפלומטי ואינו דרכון שירות ;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מעבר" פירושו - תעודת זהות ומסע ישראלית שאינה דרכון;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פירושו - שר הפנים.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E4A9F" w:rsidRPr="00654A12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E4A9F" w:rsidRPr="00654A12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דרכון יינתן לאזרח ישראלי לפי בקשתו.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תעודת מעבר תינתן -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שאינו אזרח ישראלי או למי שאזרחותו בלתי מוגדרת או מסופקת ;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במקרים מיוחדים - לאזרח ישראלי לפי בקשתו.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ניתן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דרכון או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מעבר</w:t>
                        </w:r>
                      </w:p>
                    </w:tc>
                  </w:tr>
                  <w:tr w:rsidR="00FE4A9F" w:rsidRPr="00654A12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דרכון או תעודת מעבר ניתנים -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ליחיד;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לזוג - איש ואשתו ;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ליחיד או לזוג - בשבילם ובשביל ילדיהם שלא מלאו להם שבע עשרה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להתיר צירופו של אדם שלא מלאו לו שבע עשרה שנה לדרכון או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לתעודת מעבר של אדם אחר שמלאו לו שבע עשרה שנה, אף שאיננו אחד מהוריו של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המצורף.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E4A9F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מי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ניתן דרכון</w:t>
                        </w:r>
                      </w:p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תעודת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FE4A9F" w:rsidRPr="00654A12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תקפו של דרכון הוא שנתיים מיום שניתן, אך השר רשאי לקבוע לדרכון מסויים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מזו.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E4A9F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תקפו</w:t>
                        </w:r>
                      </w:p>
                      <w:p w:rsidR="00FE4A9F" w:rsidRPr="00654A12" w:rsidRDefault="00FE4A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דרכון</w:t>
                        </w:r>
                      </w:p>
                    </w:tc>
                  </w:tr>
                </w:tbl>
                <w:p w:rsidR="00FE4A9F" w:rsidRDefault="00FE4A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75" o:spid="_x0000_s1029" type="#_x0000_t202" style="position:absolute;left:0;text-align:left;margin-left:201.8pt;margin-top:321.8pt;width:191.25pt;height:28.1pt;z-index:1;mso-position-horizontal-relative:page;mso-position-vertical-relative:page" stroked="f">
            <v:textbox style="mso-next-textbox:#_x0000_s6775" inset="0,0,0,0">
              <w:txbxContent>
                <w:p w:rsidR="00FE4A9F" w:rsidRPr="00654A12" w:rsidRDefault="00FE4A9F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הדרכונים, תשי"ב-1952 **</w:t>
                  </w:r>
                </w:p>
              </w:txbxContent>
            </v:textbox>
            <w10:wrap anchorx="page" anchory="page"/>
          </v:shape>
        </w:pict>
      </w:r>
    </w:p>
    <w:p w:rsidR="00F43ADF" w:rsidRDefault="00F43ADF">
      <w:pPr>
        <w:rPr>
          <w:rtl/>
        </w:rPr>
      </w:pPr>
      <w:r>
        <w:rPr>
          <w:rtl/>
        </w:rPr>
        <w:br w:type="page"/>
      </w:r>
    </w:p>
    <w:p w:rsidR="00F43ADF" w:rsidRDefault="00000000">
      <w:pPr>
        <w:rPr>
          <w:rtl/>
        </w:rPr>
      </w:pPr>
      <w:r>
        <w:pict>
          <v:shape id="_x0000_s677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776" inset="0,0,0,0">
              <w:txbxContent>
                <w:p w:rsidR="00FE4A9F" w:rsidRDefault="00FE4A9F">
                  <w:r>
                    <w:rPr>
                      <w:rtl/>
                    </w:rPr>
                    <w:t>261                                          ספר החוקים 102                  כ"ד בתמוז התשי"ב 17.07.1952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6777" o:spid="_x0000_s1031" type="#_x0000_t202" style="position:absolute;left:0;text-align:left;margin-left:371.6pt;margin-top:763.8pt;width:180pt;height:21.6pt;z-index:7;mso-position-horizontal-relative:page;mso-position-vertical-relative:page" stroked="f">
            <v:textbox style="mso-next-textbox:#_x0000_s6777" inset="0,0,0,0">
              <w:txbxContent>
                <w:p w:rsidR="00FE4A9F" w:rsidRDefault="00FE4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778" o:spid="_x0000_s1032" type="#_x0000_t202" style="position:absolute;left:0;text-align:left;margin-left:83.1pt;margin-top:70.8pt;width:482.7pt;height:687.25pt;z-index:6;mso-position-horizontal-relative:page;mso-position-vertical-relative:page" stroked="f">
            <v:textbox style="mso-next-textbox:#_x0000_s677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572"/>
                  </w:tblGrid>
                  <w:tr w:rsidR="00FE4A9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להאריך תקפו של דרכון לתקופה נוספת שלא תעלה על שנתיים'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ימי תקפו של הדרכון לא יעלה על עשר שנים מיום שניתן.</w:t>
                        </w:r>
                      </w:p>
                    </w:tc>
                  </w:tr>
                  <w:tr w:rsidR="00FE4A9F" w:rsidRPr="00F43AD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תקפה של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מעבר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תקפה של תעודת מעבר הוא שנה אחת, אם לא פורשה בה תקופה קצרה מזו.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תקפה של תעודת מעבר תקופה קצרה משנה אחת, רשאי השר להאריך את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לתקופה נוספת, ובלבד שסך כל ימי תקפה של תעודת המעבר לא יעלה על שנה אחת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שניתנה.</w:t>
                        </w:r>
                      </w:p>
                    </w:tc>
                  </w:tr>
                  <w:tr w:rsidR="00FE4A9F" w:rsidRPr="00F43AD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 השר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השר רשאי' לפי שיקול דעתו -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לסרב ליתן דרכון או תעודת מעבר' ולסרב להאריכם;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תנאים למתן דרכון או תעודת מעבר ולהארכתם;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דרכון או תעודת מעבר שניתנו או לקצר את תקופת תקפם, ולצוות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החזרתם;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לסייג' בין בזמן מתן דרכון או תעודת מעבר ובין לאחר מכן, את הארצות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שביחס אליהן יהיה להם תוקף.</w:t>
                        </w:r>
                      </w:p>
                    </w:tc>
                  </w:tr>
                  <w:tr w:rsidR="00FE4A9F" w:rsidRPr="00F43AD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מסירת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דרכון או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מעבר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אדם שמצא דרכון או תעודת מעבר ימסור אותם לתחנת משטרה תוך שבעה ימים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שמצאם.</w:t>
                        </w:r>
                      </w:p>
                    </w:tc>
                  </w:tr>
                  <w:tr w:rsidR="00FE4A9F" w:rsidRPr="00F43AD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Pr="00F43AD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אדם שעשה אחת מאלה: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זייף דרכון או תעודת מעבר' או שינה ללא רשות כל סרט בהם, או עשה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המכוונת לזיוף או לשינוי כזה 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או השתמש' ביודעין, בדרכון או בתעודת מעבר שזויפו או ששונו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רשות;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השתמש שלא כחוק בדרכון או בתעודת מעבר שאינם שלו או שאין שמו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בהם 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הניח לאדם אחר להשתמש שלא כחוק בדרכונו או בתעודת המעבר שלו,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שמו של אותו אדם אחר מפורש בהם 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מסר' ביודעין, הודעה כוזבת בפרט חשוב לשם קבלת דרכון או תעודת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מעבר, או לשם הארכתם, שינוים או תיקונם,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שנתיים או קנס עד חמש מאות לירות או שני הענשים כאחד.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שסירב או התרשל -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להחזיר דרכון או תעודת מעבר לאחר שנצטווה להחזירם ;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למסור לתחנת משטרה דרכון או תעודת מעבר שמצא,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שלושה חדשים או קנס עד מאתיים לירות או שני הענשים כאחד.</w:t>
                        </w:r>
                      </w:p>
                    </w:tc>
                  </w:tr>
                  <w:tr w:rsidR="00FE4A9F" w:rsidRPr="00F43ADF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E4A9F" w:rsidRDefault="00FE4A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השר רשאי להעביר לאחר את סמכויותיו לפי חוק זה, כולן או מקצתן, פרט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לסמכות לבטל דרכון ולסמכות להתקין תקנות. הודעה על העברת סמכויות תפורסם ברשומות.</w:t>
                        </w:r>
                      </w:p>
                      <w:p w:rsidR="00FE4A9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שרואה עצמו נפגע על ידי החלטה לפי סעיף 6 פסקות (1), (2) או (3) שניתנה</w:t>
                        </w:r>
                      </w:p>
                      <w:p w:rsidR="00FE4A9F" w:rsidRPr="00F43ADF" w:rsidRDefault="00FE4A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העברת סמכות מן השר' רשאי לפנות אל השר לקבלת הכרעתו הסופית.</w:t>
                        </w:r>
                      </w:p>
                    </w:tc>
                  </w:tr>
                </w:tbl>
                <w:p w:rsidR="00FE4A9F" w:rsidRDefault="00FE4A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E4A9F" w:rsidRDefault="00FE4A9F">
      <w:pPr>
        <w:rPr>
          <w:rtl/>
        </w:rPr>
      </w:pPr>
      <w:r>
        <w:rPr>
          <w:rtl/>
        </w:rPr>
        <w:br w:type="page"/>
      </w:r>
    </w:p>
    <w:p w:rsidR="00FE4A9F" w:rsidRDefault="00000000">
      <w:pPr>
        <w:rPr>
          <w:rtl/>
        </w:rPr>
      </w:pPr>
      <w:r>
        <w:pict>
          <v:shape id="_x0000_s6779" o:spid="_x0000_s1033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6779" inset="0,0,0,0">
              <w:txbxContent>
                <w:p w:rsidR="00FE4A9F" w:rsidRDefault="00FE4A9F">
                  <w:r>
                    <w:rPr>
                      <w:rtl/>
                    </w:rPr>
                    <w:t>262                                          ספר החוקים 102                  כ"ד בתמוז התשי"ב 17.07.1952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0" o:spid="_x0000_s1034" type="#_x0000_t202" style="position:absolute;left:0;text-align:left;margin-left:85.85pt;margin-top:755.9pt;width:127.1pt;height:31.3pt;z-index:15;mso-position-horizontal-relative:page;mso-position-vertical-relative:page" stroked="f">
            <v:textbox style="mso-next-textbox:#_x0000_s6780" inset="0,0,0,0">
              <w:txbxContent>
                <w:p w:rsidR="00FE4A9F" w:rsidRDefault="00FE4A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781" o:spid="_x0000_s1035" type="#_x0000_t202" style="position:absolute;left:0;text-align:left;margin-left:78.35pt;margin-top:691.55pt;width:418.75pt;height:56.85pt;z-index:14;mso-position-horizontal-relative:page;mso-position-vertical-relative:page" stroked="f">
            <v:textbox style="mso-next-textbox:#_x0000_s6781" inset="0,0,0,0">
              <w:txbxContent>
                <w:p w:rsidR="00FE4A9F" w:rsidRPr="00FE4A9F" w:rsidRDefault="00FE4A9F">
                  <w:pPr>
                    <w:pStyle w:val="OCRStyle3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"ער מס' 476 סיוט 16.11.84, תוס' 1 עמ' 282.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2" o:spid="_x0000_s1036" type="#_x0000_t202" style="position:absolute;left:0;text-align:left;margin-left:74.6pt;margin-top:351.35pt;width:443.3pt;height:114.65pt;z-index:13;mso-position-horizontal-relative:page;mso-position-vertical-relative:page" stroked="f">
            <v:textbox style="mso-next-textbox:#_x0000_s6782" inset="0,0,0,0">
              <w:txbxContent>
                <w:p w:rsidR="00FE4A9F" w:rsidRDefault="00FE4A9F">
                  <w:pPr>
                    <w:pStyle w:val="OCRStyle3"/>
                    <w:ind w:left="353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תיקון טעויות</w:t>
                  </w:r>
                </w:p>
                <w:p w:rsidR="00FE4A9F" w:rsidRDefault="00FE4A9F">
                  <w:pPr>
                    <w:pStyle w:val="OCRStyle3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בספר החוקים 100 מיום ב' בתמוז תשי"ב (25.6.52), בעמוד 244, יש להשמיט את</w:t>
                  </w:r>
                </w:p>
                <w:p w:rsidR="00FE4A9F" w:rsidRDefault="00FE4A9F">
                  <w:pPr>
                    <w:pStyle w:val="OCRStyle3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התאריך "י' בסיון תשי"ב (3 במאי 1952)* המופיע אחרי רשימת הדיינים ;</w:t>
                  </w:r>
                </w:p>
                <w:p w:rsidR="00FE4A9F" w:rsidRDefault="00FE4A9F">
                  <w:pPr>
                    <w:pStyle w:val="OCRStyle3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- בעמוד 252, בשורה השניה של סעיף 1 לחוק לקיום תקפן של תקנות ההגנה</w:t>
                  </w:r>
                </w:p>
                <w:p w:rsidR="00FE4A9F" w:rsidRPr="00FE4A9F" w:rsidRDefault="00FE4A9F">
                  <w:pPr>
                    <w:pStyle w:val="OCRStyle3"/>
                    <w:ind w:left="608"/>
                  </w:pPr>
                  <w:r>
                    <w:rPr>
                      <w:rtl/>
                    </w:rPr>
                    <w:t>(הוראת שעה), תשי"ב-1952, במקום - "1952" צ"ל - 1951#".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3" o:spid="_x0000_s1037" type="#_x0000_t202" style="position:absolute;left:0;text-align:left;margin-left:94.4pt;margin-top:209.2pt;width:98.6pt;height:40.8pt;z-index:12;mso-position-horizontal-relative:page;mso-position-vertical-relative:page" stroked="f">
            <v:textbox style="mso-next-textbox:#_x0000_s6783" inset="0,0,0,0">
              <w:txbxContent>
                <w:p w:rsidR="00FE4A9F" w:rsidRDefault="00FE4A9F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משח שפירא</w:t>
                  </w:r>
                </w:p>
                <w:p w:rsidR="00FE4A9F" w:rsidRDefault="00FE4A9F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שר חנונים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4" o:spid="_x0000_s1038" type="#_x0000_t202" style="position:absolute;left:0;text-align:left;margin-left:222.3pt;margin-top:209.2pt;width:107.1pt;height:40.8pt;z-index:11;mso-position-horizontal-relative:page;mso-position-vertical-relative:page" stroked="f">
            <v:textbox style="mso-next-textbox:#_x0000_s6784" inset="0,0,0,0">
              <w:txbxContent>
                <w:p w:rsidR="00FE4A9F" w:rsidRDefault="00FE4A9F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E4A9F" w:rsidRDefault="00FE4A9F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5" o:spid="_x0000_s1039" type="#_x0000_t202" style="position:absolute;left:0;text-align:left;margin-left:368.2pt;margin-top:240.5pt;width:130.9pt;height:47.5pt;z-index:10;mso-position-horizontal-relative:page;mso-position-vertical-relative:page" stroked="f">
            <v:textbox style="mso-next-textbox:#_x0000_s6785" inset="0,0,0,0">
              <w:txbxContent>
                <w:p w:rsidR="00FE4A9F" w:rsidRDefault="00FE4A9F">
                  <w:pPr>
                    <w:pStyle w:val="OCRStyle3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E4A9F" w:rsidRDefault="00FE4A9F">
                  <w:pPr>
                    <w:pStyle w:val="OCRStyle3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E4A9F" w:rsidRDefault="00FE4A9F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6" o:spid="_x0000_s1040" type="#_x0000_t202" style="position:absolute;left:0;text-align:left;margin-left:84.1pt;margin-top:63.45pt;width:488.85pt;height:140.2pt;z-index:9;mso-position-horizontal-relative:page;mso-position-vertical-relative:page" stroked="f">
            <v:textbox style="mso-next-textbox:#_x0000_s678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3"/>
                    <w:gridCol w:w="1274"/>
                  </w:tblGrid>
                  <w:tr w:rsidR="00FE4A9F" w:rsidRPr="00FE4A9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השר ממונה על ביצוע חוק זה, והוא רשאי להתקין תקנות בכל ענין הנוגע לביצועו.</w:t>
                        </w:r>
                      </w:p>
                      <w:p w:rsid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בענין הסרטים שיפורטו בדרכון ובתעודת מעבר והשינויים של פרטים כאלה, וכן</w:t>
                        </w:r>
                      </w:p>
                      <w:p w:rsid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האגרות שישולמו בעד שירותים לפי חוק 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A9F" w:rsidRPr="00FE4A9F" w:rsidRDefault="00FE4A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ניצחו ותקנות</w:t>
                        </w:r>
                      </w:p>
                    </w:tc>
                  </w:tr>
                  <w:tr w:rsidR="00FE4A9F" w:rsidRPr="00FE4A9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A9F" w:rsidRDefault="00FE4A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פקודת הפספורטים, 1934  1 - בטלה. התקנות שבתוספת לפקודה האמורה וגן תקנות,</w:t>
                        </w:r>
                      </w:p>
                      <w:p w:rsid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 והודעות שגעשו ותעודות שניתנו לפי הפקודה האמורה, יעמדו בתקפם כאילו נעשו</w:t>
                        </w:r>
                      </w:p>
                      <w:p w:rsidR="00FE4A9F" w:rsidRP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וניתנו לפי חוק 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  <w:p w:rsidR="00FE4A9F" w:rsidRPr="00FE4A9F" w:rsidRDefault="00FE4A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ואישור תוקף</w:t>
                        </w:r>
                      </w:p>
                    </w:tc>
                  </w:tr>
                  <w:tr w:rsidR="00FE4A9F" w:rsidRPr="00FE4A9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E4A9F" w:rsidRPr="00FE4A9F" w:rsidRDefault="00FE4A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תקפו של חוק זה הוא מיום כ"א בתמוז תשי"ב (14 ביולי 1952),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E4A9F" w:rsidRPr="00FE4A9F" w:rsidRDefault="00FE4A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E4A9F" w:rsidRDefault="00FE4A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54A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7ED2EC-19CA-4390-A65A-89B9DB11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4A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43AD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E4A9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2008-04-06T18:33:00Z</dcterms:created>
  <dcterms:modified xsi:type="dcterms:W3CDTF">2008-04-06T18:33:00Z</dcterms:modified>
</cp:coreProperties>
</file>