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1A6C" w:rsidRDefault="00D81A6C">
      <w:pPr>
        <w:rPr>
          <w:rtl/>
        </w:rPr>
      </w:pPr>
    </w:p>
    <w:p w:rsidR="00D81A6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80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801" inset="0,0,0,0">
              <w:txbxContent>
                <w:p w:rsidR="00D81A6C" w:rsidRDefault="00D81A6C">
                  <w:r>
                    <w:rPr>
                      <w:rtl/>
                    </w:rPr>
                    <w:t>70                                           ספר החוקים 482                    כ"ה באב התשכ"ו 11.08.1966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6802" o:spid="_x0000_s1026" type="#_x0000_t202" style="position:absolute;left:0;text-align:left;margin-left:108.15pt;margin-top:669.2pt;width:370.85pt;height:69.9pt;z-index:6;mso-position-horizontal-relative:page;mso-position-vertical-relative:page" stroked="f">
            <v:textbox style="mso-next-textbox:#_x0000_s6802" inset="0,0,0,0">
              <w:txbxContent>
                <w:p w:rsidR="00D81A6C" w:rsidRDefault="00D81A6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באב תשכ"ו (2 באוגוסט 1966); הצעת החוק ודברי הסבר פורסמו בה"ח 675, תשכ"ו,</w:t>
                  </w:r>
                </w:p>
                <w:p w:rsidR="00D81A6C" w:rsidRDefault="00D81A6C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עמי 46.</w:t>
                  </w:r>
                </w:p>
                <w:p w:rsidR="00D81A6C" w:rsidRPr="00D81A6C" w:rsidRDefault="00D81A6C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1 ס"ח תשי"ב, עמ' 260; ס"ח תשי"ז, עמ' 142.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6803" o:spid="_x0000_s1027" type="#_x0000_t202" style="position:absolute;left:0;text-align:left;margin-left:104.95pt;margin-top:606.65pt;width:107.3pt;height:47.9pt;z-index:5;mso-position-horizontal-relative:page;mso-position-vertical-relative:page" stroked="f">
            <v:textbox style="mso-next-textbox:#_x0000_s6803" inset="0,0,0,0">
              <w:txbxContent>
                <w:p w:rsidR="00D81A6C" w:rsidRDefault="00D81A6C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D81A6C" w:rsidRDefault="00D81A6C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שר הדתות</w:t>
                  </w:r>
                </w:p>
                <w:p w:rsidR="00D81A6C" w:rsidRDefault="00D81A6C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804" o:spid="_x0000_s1028" type="#_x0000_t202" style="position:absolute;left:0;text-align:left;margin-left:251.9pt;margin-top:605.65pt;width:84.35pt;height:40.6pt;z-index:4;mso-position-horizontal-relative:page;mso-position-vertical-relative:page" stroked="f">
            <v:textbox style="mso-next-textbox:#_x0000_s6804" inset="0,0,0,0">
              <w:txbxContent>
                <w:p w:rsidR="00D81A6C" w:rsidRDefault="00D81A6C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81A6C" w:rsidRDefault="00D81A6C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05" o:spid="_x0000_s1029" type="#_x0000_t202" style="position:absolute;left:0;text-align:left;margin-left:362.35pt;margin-top:631.6pt;width:118.8pt;height:36.65pt;z-index:3;mso-position-horizontal-relative:page;mso-position-vertical-relative:page" stroked="f">
            <v:textbox style="mso-next-textbox:#_x0000_s6805" inset="0,0,0,0">
              <w:txbxContent>
                <w:p w:rsidR="00D81A6C" w:rsidRDefault="00D81A6C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81A6C" w:rsidRDefault="00D81A6C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06" o:spid="_x0000_s1030" type="#_x0000_t202" style="position:absolute;left:0;text-align:left;margin-left:93.5pt;margin-top:102.35pt;width:471.05pt;height:501.15pt;z-index:2;mso-position-horizontal-relative:page;mso-position-vertical-relative:page" stroked="f">
            <v:textbox style="mso-next-textbox:#_x0000_s680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0"/>
                    <w:gridCol w:w="1212"/>
                    <w:gridCol w:w="1399"/>
                  </w:tblGrid>
                  <w:tr w:rsidR="00D81A6C" w:rsidRPr="00D81A6C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D81A6C" w:rsidRP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6 לחוק הדרכונים/ תשי"ב-11952 (להלן - החוק העיקרי), יבוא:</w:t>
                        </w:r>
                      </w:p>
                    </w:tc>
                    <w:tc>
                      <w:tcPr>
                        <w:tcW w:w="817" w:type="pct"/>
                      </w:tcPr>
                      <w:p w:rsidR="00D81A6C" w:rsidRP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</w:tc>
                  </w:tr>
                  <w:tr w:rsidR="00D81A6C" w:rsidRPr="00D81A6C">
                    <w:trPr>
                      <w:jc w:val="right"/>
                    </w:trPr>
                    <w:tc>
                      <w:tcPr>
                        <w:tcW w:w="3475" w:type="pct"/>
                      </w:tcPr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השר, באישור הממשלה ולאחר התיעצות עם ועדת הפנים של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לקבוע בתקנות את המקרים שבהם לא יינתן דרכון לאזרחים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ישראליים הנמצאים בחוץ לארץ ולא יוארך תקפו של דרכון שבידם'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לצורך שיבתם לישראל, זולת אם יש נסיבות המצדיקות, לדעת השר,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דרכון או הארכת תקפו אף שלא לצורך שיבתם לישראל.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קטן (א) כדי לגרוע מסמכויות השר לפי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"כללים למתן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דרכונים</w:t>
                        </w:r>
                      </w:p>
                      <w:p w:rsidR="00D81A6C" w:rsidRP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 לארץ</w:t>
                        </w:r>
                      </w:p>
                    </w:tc>
                    <w:tc>
                      <w:tcPr>
                        <w:tcW w:w="817" w:type="pct"/>
                      </w:tcPr>
                      <w:p w:rsidR="00D81A6C" w:rsidRP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 ו-6ב</w:t>
                        </w:r>
                      </w:p>
                    </w:tc>
                  </w:tr>
                  <w:tr w:rsidR="00D81A6C">
                    <w:trPr>
                      <w:jc w:val="right"/>
                    </w:trPr>
                    <w:tc>
                      <w:tcPr>
                        <w:tcW w:w="3475" w:type="pct"/>
                      </w:tcPr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השר רשאי לדרוש מבעל דרכון או תעודת מעבר שימציא את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הדרכון או את תעודת המעבר לידיו, או למי שצויין בדרישה, למטרות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כולן או מקצתן: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גניזת הדרכון או תעודת המעבר אם פקע תקפם;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חידושם אם נתבלו;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שינוי הרשום בהם;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בדיקתם;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ייעשה שינוי ברשום בדרכון או בתעודת מעבר אלא לאחר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לנוגע בדבר הזדמנות נאותה להשמיע את דבריו."</w:t>
                        </w:r>
                      </w:p>
                    </w:tc>
                    <w:tc>
                      <w:tcPr>
                        <w:tcW w:w="708" w:type="pct"/>
                      </w:tcPr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ליטול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דרכון ותעודת</w:t>
                        </w:r>
                      </w:p>
                      <w:p w:rsidR="00D81A6C" w:rsidRP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817" w:type="pct"/>
                      </w:tcPr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81A6C" w:rsidRPr="00D81A6C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8 לחוק העיקרי -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(1) יבוא: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זייף דרכון או תעודת מעבר, הוסיף, שינה או מחק, ללא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רשות, רישום בהם, תלש חלק מהם או עשה פעולה המכוונת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לזיוף, להוספה, לשינוי, למחיקה או לתלישה כאלה;"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(2) יבוא: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השתמש או החזיק בדרכון או בתעודת מעבר שזויפו או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שנעשו בהם ללא רשות הוספת רישום, מחיקתו או שינוי בו,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הוכיח כי השימוש או ההחזקה היו בתום לב?"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פסקה (2) יבוא:</w:t>
                        </w:r>
                      </w:p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למלא אחר דרישה להמציא דרכון או תעודת מעבר</w:t>
                        </w:r>
                      </w:p>
                      <w:p w:rsidR="00D81A6C" w:rsidRP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6ב".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D81A6C" w:rsidRP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D81A6C" w:rsidRPr="00D81A6C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10 לחוק העיקרי, במקום "הפרטים שיפורטו בדרכון ובתעודת מעבר" יבוא</w:t>
                        </w:r>
                      </w:p>
                      <w:p w:rsidR="00D81A6C" w:rsidRP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"צורתם של דרכון ושל תעודת מעבר, הפרטים שיפורטו בהם".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D81A6C" w:rsidRPr="00D81A6C" w:rsidRDefault="00D81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D81A6C" w:rsidRDefault="00D81A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807" o:spid="_x0000_s1031" type="#_x0000_t202" style="position:absolute;left:0;text-align:left;margin-left:173.65pt;margin-top:77.2pt;width:250.05pt;height:23.95pt;z-index:1;mso-position-horizontal-relative:page;mso-position-vertical-relative:page" stroked="f">
            <v:textbox style="mso-next-textbox:#_x0000_s6807" inset="0,0,0,0">
              <w:txbxContent>
                <w:p w:rsidR="00D81A6C" w:rsidRPr="00D81A6C" w:rsidRDefault="00D81A6C">
                  <w:pPr>
                    <w:pStyle w:val="OCRStyle1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הדרכונים (תיקון מס' 2), תשכ"ו-1966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1A6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749B97E-6E39-437F-AF4F-D075493DA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1A6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2008-04-06T20:40:00Z</dcterms:created>
  <dcterms:modified xsi:type="dcterms:W3CDTF">2008-04-06T20:40:00Z</dcterms:modified>
</cp:coreProperties>
</file>