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824B7" w:rsidRDefault="00A824B7">
      <w:pPr>
        <w:rPr>
          <w:rtl/>
        </w:rPr>
      </w:pPr>
    </w:p>
    <w:p w:rsidR="00A824B7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6970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6970" inset="0,0,0,0">
              <w:txbxContent>
                <w:p w:rsidR="00A824B7" w:rsidRDefault="00A824B7">
                  <w:r>
                    <w:rPr>
                      <w:rtl/>
                    </w:rPr>
                    <w:t>242                                          ספר החוקים 81                    ז' בתמוז התשי"א 11.07.1951</w:t>
                  </w:r>
                </w:p>
              </w:txbxContent>
            </v:textbox>
            <w10:wrap anchorx="page" anchory="page"/>
          </v:shape>
        </w:pict>
      </w:r>
      <w:r>
        <w:pict>
          <v:shape id="_x0000_s6971" o:spid="_x0000_s1026" type="#_x0000_t202" style="position:absolute;left:0;text-align:left;margin-left:80.45pt;margin-top:730.65pt;width:427.1pt;height:57.6pt;z-index:6;mso-position-horizontal-relative:page;mso-position-vertical-relative:page" stroked="f">
            <v:textbox style="mso-next-textbox:#_x0000_s6971" inset="0,0,0,0">
              <w:txbxContent>
                <w:p w:rsidR="00A824B7" w:rsidRDefault="00A824B7">
                  <w:pPr>
                    <w:pStyle w:val="OCRStyle1"/>
                    <w:ind w:left="756"/>
                    <w:rPr>
                      <w:rtl/>
                    </w:rPr>
                  </w:pPr>
                  <w:r>
                    <w:rPr>
                      <w:rtl/>
                    </w:rPr>
                    <w:t>• נתקבל בכנסת ביום כ׳׳ט במיון תשי״א (3 ביולי 1951)</w:t>
                  </w:r>
                </w:p>
                <w:p w:rsidR="00A824B7" w:rsidRPr="00A824B7" w:rsidRDefault="00A824B7">
                  <w:pPr>
                    <w:pStyle w:val="OCRStyle1"/>
                    <w:ind w:left="77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ע״ר מס׳ 1080 מיום 31.3.41, תוס׳ 1, עט׳ 15.</w:t>
                  </w:r>
                </w:p>
              </w:txbxContent>
            </v:textbox>
            <w10:wrap anchorx="page" anchory="page"/>
          </v:shape>
        </w:pict>
      </w:r>
      <w:r>
        <w:pict>
          <v:shape id="_x0000_s6972" o:spid="_x0000_s1027" type="#_x0000_t202" style="position:absolute;left:0;text-align:left;margin-left:400.4pt;margin-top:690.25pt;width:104.35pt;height:25.75pt;z-index:5;mso-position-horizontal-relative:page;mso-position-vertical-relative:page" stroked="f">
            <v:textbox style="mso-next-textbox:#_x0000_s6972" inset="0,0,0,0">
              <w:txbxContent>
                <w:p w:rsidR="00A824B7" w:rsidRDefault="00A824B7">
                  <w:pPr>
                    <w:pStyle w:val="OCRStyle1"/>
                    <w:ind w:left="342"/>
                    <w:rPr>
                      <w:rtl/>
                    </w:rPr>
                  </w:pPr>
                  <w:r>
                    <w:rPr>
                      <w:rtl/>
                    </w:rPr>
                    <w:t>חיים ווייצמן</w:t>
                  </w:r>
                </w:p>
                <w:p w:rsidR="00A824B7" w:rsidRDefault="00A824B7">
                  <w:pPr>
                    <w:pStyle w:val="OCRStyle1"/>
                    <w:ind w:left="529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6973" o:spid="_x0000_s1028" type="#_x0000_t202" style="position:absolute;left:0;text-align:left;margin-left:109.75pt;margin-top:655.4pt;width:82.55pt;height:33.85pt;z-index:4;mso-position-horizontal-relative:page;mso-position-vertical-relative:page" stroked="f">
            <v:textbox style="mso-next-textbox:#_x0000_s6973" inset="0,0,0,0">
              <w:txbxContent>
                <w:p w:rsidR="00A824B7" w:rsidRDefault="00A824B7">
                  <w:pPr>
                    <w:pStyle w:val="OCRStyle1"/>
                    <w:ind w:left="137"/>
                    <w:rPr>
                      <w:rtl/>
                    </w:rPr>
                  </w:pPr>
                  <w:r>
                    <w:rPr>
                      <w:rtl/>
                    </w:rPr>
                    <w:t>פנחס רוזן</w:t>
                  </w:r>
                </w:p>
                <w:p w:rsidR="00A824B7" w:rsidRDefault="00A824B7">
                  <w:pPr>
                    <w:pStyle w:val="OCRStyle1"/>
                    <w:ind w:left="162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6974" o:spid="_x0000_s1029" type="#_x0000_t202" style="position:absolute;left:0;text-align:left;margin-left:239.85pt;margin-top:656.4pt;width:99pt;height:31.1pt;z-index:3;mso-position-horizontal-relative:page;mso-position-vertical-relative:page" stroked="f">
            <v:textbox style="mso-next-textbox:#_x0000_s6974" inset="0,0,0,0">
              <w:txbxContent>
                <w:p w:rsidR="00A824B7" w:rsidRDefault="00A824B7">
                  <w:pPr>
                    <w:pStyle w:val="OCRStyle1"/>
                    <w:ind w:left="104"/>
                    <w:rPr>
                      <w:rtl/>
                    </w:rPr>
                  </w:pPr>
                  <w:r>
                    <w:rPr>
                      <w:rtl/>
                    </w:rPr>
                    <w:t>דוד בן גוריון</w:t>
                  </w:r>
                </w:p>
                <w:p w:rsidR="00A824B7" w:rsidRDefault="00A824B7">
                  <w:pPr>
                    <w:pStyle w:val="OCRStyle1"/>
                    <w:ind w:left="33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6975" o:spid="_x0000_s1030" type="#_x0000_t202" style="position:absolute;left:0;text-align:left;margin-left:81.25pt;margin-top:393.25pt;width:497pt;height:256.6pt;z-index:2;mso-position-horizontal-relative:page;mso-position-vertical-relative:page" stroked="f">
            <v:textbox style="mso-next-textbox:#_x0000_s6975" inset="0,0,0,0">
              <w:txbxContent>
                <w:tbl>
                  <w:tblPr>
                    <w:tblW w:w="444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585"/>
                    <w:gridCol w:w="1451"/>
                  </w:tblGrid>
                  <w:tr w:rsidR="00A824B7" w:rsidRPr="00A824B7">
                    <w:trPr>
                      <w:jc w:val="right"/>
                    </w:trPr>
                    <w:tc>
                      <w:tcPr>
                        <w:tcW w:w="4197" w:type="pct"/>
                      </w:tcPr>
                      <w:p w:rsidR="00A824B7" w:rsidRDefault="00A824B7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בחוק זה, ״הפקודה העיקרית״ פירושו — פקודת ההגבלות על שכר דירה (בתי-עסק),</w:t>
                        </w:r>
                      </w:p>
                      <w:p w:rsidR="00A824B7" w:rsidRPr="00A824B7" w:rsidRDefault="00A824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.11941</w:t>
                        </w:r>
                      </w:p>
                    </w:tc>
                    <w:tc>
                      <w:tcPr>
                        <w:tcW w:w="803" w:type="pct"/>
                      </w:tcPr>
                      <w:p w:rsidR="00A824B7" w:rsidRPr="00A824B7" w:rsidRDefault="00A824B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פירושים</w:t>
                        </w:r>
                      </w:p>
                    </w:tc>
                  </w:tr>
                  <w:tr w:rsidR="00A824B7" w:rsidRPr="00A824B7">
                    <w:trPr>
                      <w:jc w:val="right"/>
                    </w:trPr>
                    <w:tc>
                      <w:tcPr>
                        <w:tcW w:w="4197" w:type="pct"/>
                      </w:tcPr>
                      <w:p w:rsidR="00A824B7" w:rsidRDefault="00A824B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הפקודה העיקרית תתוקן כך:</w:t>
                        </w:r>
                      </w:p>
                      <w:p w:rsidR="00A824B7" w:rsidRDefault="00A824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2 יסומן כסעיף 2 (1)׳ ואחריו ייווסף סעיף קטן זה:</w:t>
                        </w:r>
                      </w:p>
                      <w:p w:rsidR="00A824B7" w:rsidRDefault="00A824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״(2) נפטר שוכר או שוכר משנה של בית עסק שפקודה זו חלה עליו, רואים כשוכר</w:t>
                        </w:r>
                      </w:p>
                      <w:p w:rsidR="00A824B7" w:rsidRDefault="00A824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בשוכר משנה של אותו בית עסק את מי שהיה בן-זוגו של הנפטר בשעת פטירתו,</w:t>
                        </w:r>
                      </w:p>
                      <w:p w:rsidR="00A824B7" w:rsidRDefault="00A824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ובאין בן-זוג כאמור — את ילדיו, ובאין ילדים — את הוריו. באין הורים, רשאי</w:t>
                        </w:r>
                      </w:p>
                      <w:p w:rsidR="00A824B7" w:rsidRDefault="00A824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משפט השלום לפסוק שיראו כשוכר או כשוכר משנה של בית העסק אחד או</w:t>
                        </w:r>
                      </w:p>
                      <w:p w:rsidR="00A824B7" w:rsidRDefault="00A824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אחדים מן האנשים המנויים להלן, אם מצא בית המשפט כי מן הצדק לעשות זאת</w:t>
                        </w:r>
                      </w:p>
                      <w:p w:rsidR="00A824B7" w:rsidRDefault="00A824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בשים לב למידת תלותם בנפטר ; ואלה האנשים:</w:t>
                        </w:r>
                      </w:p>
                      <w:p w:rsidR="00A824B7" w:rsidRDefault="00A824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קרובים אחרים של הנפטר שהיו תלויים בו סמוך לפטירתו;</w:t>
                        </w:r>
                      </w:p>
                      <w:p w:rsidR="00A824B7" w:rsidRDefault="00A824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אנשים אחרים שהיו תלויים בנפטר סמוך לפטירתו והשתתפו אותה שעה</w:t>
                        </w:r>
                      </w:p>
                      <w:p w:rsidR="00A824B7" w:rsidRPr="00A824B7" w:rsidRDefault="00A824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בהנהלת העסק שהתנהל בבית העסק.״</w:t>
                        </w:r>
                      </w:p>
                    </w:tc>
                    <w:tc>
                      <w:tcPr>
                        <w:tcW w:w="803" w:type="pct"/>
                      </w:tcPr>
                      <w:p w:rsidR="00A824B7" w:rsidRDefault="00A824B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הסעיף 2</w:t>
                        </w:r>
                      </w:p>
                      <w:p w:rsidR="00A824B7" w:rsidRDefault="00A824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?פקודה</w:t>
                        </w:r>
                      </w:p>
                      <w:p w:rsidR="00A824B7" w:rsidRPr="00A824B7" w:rsidRDefault="00A824B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העיקרית</w:t>
                        </w:r>
                      </w:p>
                    </w:tc>
                  </w:tr>
                  <w:tr w:rsidR="00A824B7" w:rsidRPr="00A824B7">
                    <w:trPr>
                      <w:jc w:val="right"/>
                    </w:trPr>
                    <w:tc>
                      <w:tcPr>
                        <w:tcW w:w="4197" w:type="pct"/>
                      </w:tcPr>
                      <w:p w:rsidR="00A824B7" w:rsidRDefault="00A824B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 שר המשפטים רשאי לקבוע, בתקנות, הוראות שתכליתן להפעיל את התיקון שסעיף 2</w:t>
                        </w:r>
                      </w:p>
                      <w:p w:rsidR="00A824B7" w:rsidRDefault="00A824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מתקן בפקודה העיקרית לגבי פסקי דין לפינוי בתי עסק ושהוצאתם לפועל לא הושלמה</w:t>
                        </w:r>
                      </w:p>
                      <w:p w:rsidR="00A824B7" w:rsidRPr="00A824B7" w:rsidRDefault="00A824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תחילת תקפו של חוק זה.</w:t>
                        </w:r>
                      </w:p>
                    </w:tc>
                    <w:tc>
                      <w:tcPr>
                        <w:tcW w:w="803" w:type="pct"/>
                      </w:tcPr>
                      <w:p w:rsidR="00A824B7" w:rsidRPr="00A824B7" w:rsidRDefault="00A824B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הוראת מעבר</w:t>
                        </w:r>
                      </w:p>
                    </w:tc>
                  </w:tr>
                </w:tbl>
                <w:p w:rsidR="00A824B7" w:rsidRDefault="00A824B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6976" o:spid="_x0000_s1031" type="#_x0000_t202" style="position:absolute;left:0;text-align:left;margin-left:81.25pt;margin-top:370.25pt;width:417.2pt;height:20.2pt;z-index:1;mso-position-horizontal-relative:page;mso-position-vertical-relative:page" stroked="f">
            <v:textbox style="mso-next-textbox:#_x0000_s6976" inset="0,0,0,0">
              <w:txbxContent>
                <w:p w:rsidR="00A824B7" w:rsidRPr="00A824B7" w:rsidRDefault="00A824B7">
                  <w:pPr>
                    <w:pStyle w:val="OCRStyle1"/>
                    <w:ind w:left="403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לתיקון פקודת ההגבלות על שכר דירה (בתי עסק), תשי״א—1951*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A824B7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824B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F5FDF7B-A4B9-41AB-ADFF-AF290475C7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A824B7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2008-04-06T17:30:00Z</dcterms:created>
  <dcterms:modified xsi:type="dcterms:W3CDTF">2008-04-06T17:30:00Z</dcterms:modified>
</cp:coreProperties>
</file>