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9D34B2" w:rsidRDefault="009D34B2">
      <w:pPr>
        <w:rPr>
          <w:rtl/>
        </w:rPr>
      </w:pPr>
    </w:p>
    <w:p w:rsidR="009D34B2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6986" o:spid="_x0000_s1025" type="#_x0000_t202" style="position:absolute;left:0;text-align:left;margin-left:50pt;margin-top:771.95pt;width:495.35pt;height:30pt;z-index:9;mso-position-horizontal-relative:page;mso-position-vertical-relative:page" stroked="f">
            <v:textbox style="mso-next-textbox:#_x0000_s6986" inset="0,0,0,0">
              <w:txbxContent>
                <w:p w:rsidR="009D34B2" w:rsidRDefault="009D34B2">
                  <w:r>
                    <w:rPr>
                      <w:rtl/>
                    </w:rPr>
                    <w:t>8                                            ספר החוקים 169                   י"ג בטבת התשי"ה 07.01.1955</w:t>
                  </w:r>
                </w:p>
              </w:txbxContent>
            </v:textbox>
            <w10:wrap anchorx="page" anchory="page"/>
          </v:shape>
        </w:pict>
      </w:r>
      <w:r>
        <w:pict>
          <v:shape id="_x0000_s6987" o:spid="_x0000_s1026" type="#_x0000_t202" style="position:absolute;left:0;text-align:left;margin-left:86.15pt;margin-top:771.7pt;width:183.75pt;height:36.65pt;z-index:8;mso-position-horizontal-relative:page;mso-position-vertical-relative:page" stroked="f">
            <v:textbox style="mso-next-textbox:#_x0000_s6987" inset="0,0,0,0">
              <w:txbxContent>
                <w:p w:rsidR="009D34B2" w:rsidRDefault="009D34B2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6988" o:spid="_x0000_s1027" type="#_x0000_t202" style="position:absolute;left:0;text-align:left;margin-left:261.2pt;margin-top:722.8pt;width:218.2pt;height:36.45pt;z-index:7;mso-position-horizontal-relative:page;mso-position-vertical-relative:page" stroked="f">
            <v:textbox style="mso-next-textbox:#_x0000_s6988" inset="0,0,0,0">
              <w:txbxContent>
                <w:p w:rsidR="009D34B2" w:rsidRDefault="009D34B2">
                  <w:pPr>
                    <w:pStyle w:val="OCRStyle1"/>
                    <w:ind w:left="126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ר' בטבת תשט''ו (29 בדצמבר 1951)</w:t>
                  </w:r>
                </w:p>
                <w:p w:rsidR="009D34B2" w:rsidRPr="009D34B2" w:rsidRDefault="009D34B2">
                  <w:pPr>
                    <w:pStyle w:val="OCRStyle1"/>
                    <w:ind w:left="130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"חס 151, תשי"ד, עמ' .92.</w:t>
                  </w:r>
                </w:p>
              </w:txbxContent>
            </v:textbox>
            <w10:wrap anchorx="page" anchory="page"/>
          </v:shape>
        </w:pict>
      </w:r>
      <w:r>
        <w:pict>
          <v:shape id="_x0000_s6989" o:spid="_x0000_s1028" type="#_x0000_t202" style="position:absolute;left:0;text-align:left;margin-left:381.35pt;margin-top:662.2pt;width:100.8pt;height:40.4pt;z-index:6;mso-position-horizontal-relative:page;mso-position-vertical-relative:page" stroked="f">
            <v:textbox style="mso-next-textbox:#_x0000_s6989" inset="0,0,0,0">
              <w:txbxContent>
                <w:p w:rsidR="009D34B2" w:rsidRDefault="009D34B2">
                  <w:pPr>
                    <w:pStyle w:val="OCRStyle1"/>
                    <w:ind w:left="158"/>
                    <w:rPr>
                      <w:rtl/>
                    </w:rPr>
                  </w:pPr>
                  <w:r>
                    <w:rPr>
                      <w:rtl/>
                    </w:rPr>
                    <w:t>יצחק בן- צבי</w:t>
                  </w:r>
                </w:p>
                <w:p w:rsidR="009D34B2" w:rsidRDefault="009D34B2">
                  <w:pPr>
                    <w:pStyle w:val="OCRStyle1"/>
                    <w:ind w:left="410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6990" o:spid="_x0000_s1029" type="#_x0000_t202" style="position:absolute;left:0;text-align:left;margin-left:269.9pt;margin-top:622.8pt;width:80.6pt;height:41.4pt;z-index:5;mso-position-horizontal-relative:page;mso-position-vertical-relative:page" stroked="f">
            <v:textbox style="mso-next-textbox:#_x0000_s6990" inset="0,0,0,0">
              <w:txbxContent>
                <w:p w:rsidR="009D34B2" w:rsidRDefault="009D34B2">
                  <w:pPr>
                    <w:pStyle w:val="OCRStyle1"/>
                    <w:ind w:left="176"/>
                    <w:rPr>
                      <w:rtl/>
                    </w:rPr>
                  </w:pPr>
                  <w:r>
                    <w:rPr>
                      <w:rtl/>
                    </w:rPr>
                    <w:t>משה שרת</w:t>
                  </w:r>
                </w:p>
                <w:p w:rsidR="009D34B2" w:rsidRDefault="009D34B2">
                  <w:pPr>
                    <w:pStyle w:val="OCRStyle1"/>
                    <w:ind w:left="205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6991" o:spid="_x0000_s1030" type="#_x0000_t202" style="position:absolute;left:0;text-align:left;margin-left:112.1pt;margin-top:620.8pt;width:90.5pt;height:40.4pt;z-index:4;mso-position-horizontal-relative:page;mso-position-vertical-relative:page" stroked="f">
            <v:textbox style="mso-next-textbox:#_x0000_s6991" inset="0,0,0,0">
              <w:txbxContent>
                <w:p w:rsidR="009D34B2" w:rsidRDefault="009D34B2">
                  <w:pPr>
                    <w:pStyle w:val="OCRStyle1"/>
                    <w:ind w:left="227"/>
                    <w:rPr>
                      <w:rtl/>
                    </w:rPr>
                  </w:pPr>
                  <w:r>
                    <w:rPr>
                      <w:rtl/>
                    </w:rPr>
                    <w:t>פנחס רוזן</w:t>
                  </w:r>
                </w:p>
                <w:p w:rsidR="009D34B2" w:rsidRDefault="009D34B2">
                  <w:pPr>
                    <w:pStyle w:val="OCRStyle1"/>
                    <w:ind w:left="288"/>
                  </w:pPr>
                  <w:r>
                    <w:rPr>
                      <w:rtl/>
                    </w:rPr>
                    <w:t>שר המשפטים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6992" o:spid="_x0000_s1031" type="#_x0000_t202" style="position:absolute;left:0;text-align:left;margin-left:82.4pt;margin-top:119.1pt;width:497pt;height:486.5pt;z-index:3;mso-position-horizontal-relative:page;mso-position-vertical-relative:page" stroked="f">
            <v:textbox style="mso-next-textbox:#_x0000_s6992" inset="0,0,0,0">
              <w:txbxContent>
                <w:tbl>
                  <w:tblPr>
                    <w:tblW w:w="444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693"/>
                    <w:gridCol w:w="1343"/>
                  </w:tblGrid>
                  <w:tr w:rsidR="009D34B2" w:rsidRPr="009D34B2">
                    <w:trPr>
                      <w:jc w:val="right"/>
                    </w:trPr>
                    <w:tc>
                      <w:tcPr>
                        <w:tcW w:w="4257" w:type="pct"/>
                      </w:tcPr>
                      <w:p w:rsidR="009D34B2" w:rsidRDefault="009D34B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 .הושכר בית עסק בשכירות משנה, והדייר הראשי חדל להחזיק בבית העסק או נפטר,</w:t>
                        </w:r>
                      </w:p>
                      <w:p w:rsidR="009D34B2" w:rsidRDefault="009D34B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ולא בא במקומו אדם אחר כדייר מכוח חיקוק, יהיה דייר המשנה, לגבי החלק המוחזק בידו,</w:t>
                        </w:r>
                      </w:p>
                      <w:p w:rsidR="009D34B2" w:rsidRDefault="009D34B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לדייר של בעל הבית' ובלבד -</w:t>
                        </w:r>
                      </w:p>
                      <w:p w:rsidR="009D34B2" w:rsidRDefault="009D34B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שבזמן שהדייר הראשי חדל להחזיק בבית העסק או ערב פטירתו לא נתנה</w:t>
                        </w:r>
                      </w:p>
                      <w:p w:rsidR="009D34B2" w:rsidRDefault="009D34B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השכרת המשנה לבעל הבית עילת פינוי נגד הדייר הראשי;</w:t>
                        </w:r>
                      </w:p>
                      <w:p w:rsidR="009D34B2" w:rsidRDefault="009D34B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שהשכרת המשנה לא נעשתה אחרי שבעל הבית התחיל בהליכים משפטיים</w:t>
                        </w:r>
                      </w:p>
                      <w:p w:rsidR="009D34B2" w:rsidRDefault="009D34B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לפינוי הדייר הראשי מבית העסק.</w:t>
                        </w:r>
                      </w:p>
                    </w:tc>
                    <w:tc>
                      <w:tcPr>
                        <w:tcW w:w="743" w:type="pct"/>
                      </w:tcPr>
                      <w:p w:rsidR="009D34B2" w:rsidRDefault="009D34B2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דייר משנה</w:t>
                        </w:r>
                      </w:p>
                      <w:p w:rsidR="009D34B2" w:rsidRDefault="009D34B2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שהיה לדייר</w:t>
                        </w:r>
                      </w:p>
                      <w:p w:rsidR="009D34B2" w:rsidRPr="009D34B2" w:rsidRDefault="009D34B2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של בעל הבית</w:t>
                        </w:r>
                      </w:p>
                    </w:tc>
                  </w:tr>
                  <w:tr w:rsidR="009D34B2" w:rsidRPr="009D34B2">
                    <w:trPr>
                      <w:jc w:val="right"/>
                    </w:trPr>
                    <w:tc>
                      <w:tcPr>
                        <w:tcW w:w="4257" w:type="pct"/>
                      </w:tcPr>
                      <w:p w:rsidR="009D34B2" w:rsidRDefault="009D34B2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 .           נהיה אדם לדייר מכוח סעיף 1, רשאי בעל הבית לחזור ולהשכיר את בית העסק כולו,</w:t>
                        </w:r>
                      </w:p>
                      <w:p w:rsidR="009D34B2" w:rsidRDefault="009D34B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לרבות החלק המוחזק על ידי אותו אדם, ומשעשה כן יהיה אותו אדם לדייר משנה של השוכר</w:t>
                        </w:r>
                      </w:p>
                      <w:p w:rsidR="009D34B2" w:rsidRPr="009D34B2" w:rsidRDefault="009D34B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החדש.</w:t>
                        </w:r>
                      </w:p>
                    </w:tc>
                    <w:tc>
                      <w:tcPr>
                        <w:tcW w:w="743" w:type="pct"/>
                      </w:tcPr>
                      <w:p w:rsidR="009D34B2" w:rsidRDefault="009D34B2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דייר שהיה שוב</w:t>
                        </w:r>
                      </w:p>
                      <w:p w:rsidR="009D34B2" w:rsidRPr="009D34B2" w:rsidRDefault="009D34B2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לדייר משנה</w:t>
                        </w:r>
                      </w:p>
                    </w:tc>
                  </w:tr>
                  <w:tr w:rsidR="009D34B2" w:rsidRPr="009D34B2">
                    <w:trPr>
                      <w:jc w:val="right"/>
                    </w:trPr>
                    <w:tc>
                      <w:tcPr>
                        <w:tcW w:w="4257" w:type="pct"/>
                      </w:tcPr>
                      <w:p w:rsidR="009D34B2" w:rsidRDefault="009D34B2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3. תנאי השכירות של האדם האמור - הן בזמן שהוא דייר לפי סעיף 1, והן בזמן שהוא</w:t>
                        </w:r>
                      </w:p>
                      <w:p w:rsidR="009D34B2" w:rsidRDefault="009D34B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דייר משנה לפי סעיף 2 - יהיו כתנאי השכירות שהיו חלים לאחרונה בינו לבין הדייר</w:t>
                        </w:r>
                      </w:p>
                      <w:p w:rsidR="009D34B2" w:rsidRPr="009D34B2" w:rsidRDefault="009D34B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הראשי שחדל להחזיק בבית העסק או שנפטר.</w:t>
                        </w:r>
                      </w:p>
                    </w:tc>
                    <w:tc>
                      <w:tcPr>
                        <w:tcW w:w="743" w:type="pct"/>
                      </w:tcPr>
                      <w:p w:rsidR="009D34B2" w:rsidRPr="009D34B2" w:rsidRDefault="009D34B2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תנאי השכירות</w:t>
                        </w:r>
                      </w:p>
                    </w:tc>
                  </w:tr>
                  <w:tr w:rsidR="009D34B2" w:rsidRPr="009D34B2">
                    <w:trPr>
                      <w:jc w:val="right"/>
                    </w:trPr>
                    <w:tc>
                      <w:tcPr>
                        <w:tcW w:w="4257" w:type="pct"/>
                      </w:tcPr>
                      <w:p w:rsidR="009D34B2" w:rsidRDefault="009D34B2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4. (א) ניתן פסק דין או צו לפינוי של בית עסק (להלן - צו פינוי)' והפינוי לא נסתיים</w:t>
                        </w:r>
                      </w:p>
                      <w:p w:rsidR="009D34B2" w:rsidRDefault="009D34B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לפני תחילתו של חוק זה, רשאי בית המשפט שנתן את צו הפינוי, על פי בקשת החייב בפינוי,</w:t>
                        </w:r>
                      </w:p>
                      <w:p w:rsidR="009D34B2" w:rsidRDefault="009D34B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לבטל או לשנות את הצו על מנת להגשים חוק זה' אם נראה לבית המשפט כי צו הפינוי</w:t>
                        </w:r>
                      </w:p>
                      <w:p w:rsidR="009D34B2" w:rsidRDefault="009D34B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 היה ניתן אילו היה חוק זה בר-תוקף בשעה שניתן הצו.</w:t>
                        </w:r>
                      </w:p>
                      <w:p w:rsidR="009D34B2" w:rsidRDefault="009D34B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הוגשה בקשה כאמור בסעיף קטן (א), לא יוצא צו הפינוי לפועל לפני גמר</w:t>
                        </w:r>
                      </w:p>
                      <w:p w:rsidR="009D34B2" w:rsidRDefault="009D34B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הבירור בבקשה; לא ישמע בית המשפט בקשה כאמור שהוגשה לאחר הפינוי של בית העסק.</w:t>
                        </w:r>
                      </w:p>
                      <w:p w:rsidR="009D34B2" w:rsidRDefault="009D34B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פקיד ההוצאה לבועל שנתן צו לכינוי בית עסק י:ילא על פי- פסק דין של בית</w:t>
                        </w:r>
                      </w:p>
                      <w:p w:rsidR="009D34B2" w:rsidRDefault="009D34B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משפט מוסמך, יהיו לו כל הסמכויות על בית משפט לכי סעיף קטן (א)' בשינויים המחוייבים</w:t>
                        </w:r>
                      </w:p>
                      <w:p w:rsidR="009D34B2" w:rsidRPr="009D34B2" w:rsidRDefault="009D34B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הענק.</w:t>
                        </w:r>
                      </w:p>
                    </w:tc>
                    <w:tc>
                      <w:tcPr>
                        <w:tcW w:w="743" w:type="pct"/>
                      </w:tcPr>
                      <w:p w:rsidR="009D34B2" w:rsidRPr="009D34B2" w:rsidRDefault="009D34B2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הוראות מעבר</w:t>
                        </w:r>
                      </w:p>
                    </w:tc>
                  </w:tr>
                  <w:tr w:rsidR="009D34B2" w:rsidRPr="009D34B2">
                    <w:trPr>
                      <w:jc w:val="right"/>
                    </w:trPr>
                    <w:tc>
                      <w:tcPr>
                        <w:tcW w:w="4257" w:type="pct"/>
                      </w:tcPr>
                      <w:p w:rsidR="009D34B2" w:rsidRPr="009D34B2" w:rsidRDefault="009D34B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5. בחוק  זה יהיה לכל מונח המשמעות הניתנת  לו בחוק הגנת הדייר, תשי"ד-1954 1.</w:t>
                        </w:r>
                      </w:p>
                    </w:tc>
                    <w:tc>
                      <w:tcPr>
                        <w:tcW w:w="743" w:type="pct"/>
                      </w:tcPr>
                      <w:p w:rsidR="009D34B2" w:rsidRPr="009D34B2" w:rsidRDefault="009D34B2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פירוש</w:t>
                        </w:r>
                      </w:p>
                    </w:tc>
                  </w:tr>
                  <w:tr w:rsidR="009D34B2" w:rsidRPr="009D34B2">
                    <w:trPr>
                      <w:jc w:val="right"/>
                    </w:trPr>
                    <w:tc>
                      <w:tcPr>
                        <w:tcW w:w="4257" w:type="pct"/>
                      </w:tcPr>
                      <w:p w:rsidR="009D34B2" w:rsidRDefault="009D34B2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6. חוק זה בא להוסיף על הזכויות הניתנות לשוכר משנה על ני חיקוק אחר, ולא לגרוע</w:t>
                        </w:r>
                      </w:p>
                      <w:p w:rsidR="009D34B2" w:rsidRPr="009D34B2" w:rsidRDefault="009D34B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מהן.</w:t>
                        </w:r>
                      </w:p>
                    </w:tc>
                    <w:tc>
                      <w:tcPr>
                        <w:tcW w:w="743" w:type="pct"/>
                      </w:tcPr>
                      <w:p w:rsidR="009D34B2" w:rsidRPr="009D34B2" w:rsidRDefault="009D34B2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שמירת זכויות</w:t>
                        </w:r>
                      </w:p>
                    </w:tc>
                  </w:tr>
                  <w:tr w:rsidR="009D34B2" w:rsidRPr="009D34B2">
                    <w:trPr>
                      <w:jc w:val="right"/>
                    </w:trPr>
                    <w:tc>
                      <w:tcPr>
                        <w:tcW w:w="4257" w:type="pct"/>
                      </w:tcPr>
                      <w:p w:rsidR="009D34B2" w:rsidRPr="009D34B2" w:rsidRDefault="009D34B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7. תחילתו של חוק זה היא מיום שנתקבל בכנסת.</w:t>
                        </w:r>
                      </w:p>
                    </w:tc>
                    <w:tc>
                      <w:tcPr>
                        <w:tcW w:w="743" w:type="pct"/>
                      </w:tcPr>
                      <w:p w:rsidR="009D34B2" w:rsidRPr="009D34B2" w:rsidRDefault="009D34B2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תחילה</w:t>
                        </w:r>
                      </w:p>
                    </w:tc>
                  </w:tr>
                </w:tbl>
                <w:p w:rsidR="009D34B2" w:rsidRDefault="009D34B2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6993" o:spid="_x0000_s1032" type="#_x0000_t202" style="position:absolute;left:0;text-align:left;margin-left:527.3pt;margin-top:68.2pt;width:48.1pt;height:26.95pt;z-index:2;mso-position-horizontal-relative:page;mso-position-vertical-relative:page" stroked="f">
            <v:textbox style="mso-next-textbox:#_x0000_s6993" inset="0,0,0,0">
              <w:txbxContent>
                <w:p w:rsidR="009D34B2" w:rsidRDefault="009D34B2">
                  <w:pPr>
                    <w:pStyle w:val="OCRStyle1"/>
                    <w:ind w:left="108"/>
                  </w:pPr>
                  <w:r>
                    <w:rPr>
                      <w:rtl/>
                    </w:rPr>
                    <w:t>מספר 7</w:t>
                  </w:r>
                </w:p>
              </w:txbxContent>
            </v:textbox>
            <w10:wrap anchorx="page" anchory="page"/>
          </v:shape>
        </w:pict>
      </w:r>
      <w:r>
        <w:pict>
          <v:shape id="_x0000_s6994" o:spid="_x0000_s1033" type="#_x0000_t202" style="position:absolute;left:0;text-align:left;margin-left:147.75pt;margin-top:90.4pt;width:299.95pt;height:22pt;z-index:1;mso-position-horizontal-relative:page;mso-position-vertical-relative:page" stroked="f">
            <v:textbox style="mso-next-textbox:#_x0000_s6994" inset="0,0,0,0">
              <w:txbxContent>
                <w:p w:rsidR="009D34B2" w:rsidRPr="009D34B2" w:rsidRDefault="009D34B2">
                  <w:pPr>
                    <w:pStyle w:val="OCRStyle1"/>
                    <w:ind w:left="223"/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  <w:rtl/>
                    </w:rPr>
                    <w:t>חוק הגנת דייר המשנה של בית עסק, תשט"ו--1954 *</w:t>
                  </w:r>
                </w:p>
              </w:txbxContent>
            </v:textbox>
            <w10:wrap anchorx="page" anchory="page"/>
          </v:shape>
        </w:pict>
      </w:r>
    </w:p>
    <w:p w:rsidR="00903F85" w:rsidRDefault="00903F85">
      <w:bookmarkStart w:id="0" w:name="_PictureBullets"/>
      <w:bookmarkEnd w:id="0"/>
    </w:p>
    <w:sectPr w:rsidR="00903F85" w:rsidSect="009D34B2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D34B2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6613B12F-6594-4900-9713-F584E33469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9D34B2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10</Characters>
  <Application>Microsoft Office Word</Application>
  <DocSecurity>4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imst</dc:creator>
  <cp:keywords/>
  <dc:description/>
  <cp:lastModifiedBy>imst</cp:lastModifiedBy>
  <cp:revision>2</cp:revision>
  <dcterms:created xsi:type="dcterms:W3CDTF">2008-04-06T18:41:00Z</dcterms:created>
  <dcterms:modified xsi:type="dcterms:W3CDTF">2008-04-06T18:41:00Z</dcterms:modified>
</cp:coreProperties>
</file>