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24D3" w:rsidRDefault="00F724D3">
      <w:pPr>
        <w:rPr>
          <w:rtl/>
        </w:rPr>
      </w:pPr>
    </w:p>
    <w:p w:rsidR="00F724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089" inset="0,0,0,0">
              <w:txbxContent>
                <w:p w:rsidR="00C50032" w:rsidRDefault="00C50032">
                  <w:r>
                    <w:rPr>
                      <w:rtl/>
                    </w:rPr>
                    <w:t>48                                           ספר החוקים 416                   כ"ב בשבט התשכ"ד 05.02.1964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0" o:spid="_x0000_s1026" type="#_x0000_t202" style="position:absolute;left:0;text-align:left;margin-left:87.1pt;margin-top:646.4pt;width:379.55pt;height:89.7pt;z-index:3;mso-position-horizontal-relative:page;mso-position-vertical-relative:page" stroked="f">
            <v:textbox style="mso-next-textbox:#_x0000_s7090" inset="0,0,0,0">
              <w:txbxContent>
                <w:p w:rsidR="00C50032" w:rsidRDefault="00C5003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תשכ"ד (27 בינואר 1964); הצעת החוק ודברי הסבר פורסמו בה"ח 561' תשכ"ג,</w:t>
                  </w:r>
                </w:p>
                <w:p w:rsidR="00C50032" w:rsidRDefault="00C5003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עמי 265.</w:t>
                  </w:r>
                </w:p>
                <w:p w:rsidR="00C50032" w:rsidRDefault="00C5003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חוקי א''י, כרך א', פרק י"ד, עמ' 107.</w:t>
                  </w:r>
                </w:p>
                <w:p w:rsidR="00C50032" w:rsidRDefault="00C5003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 ס"ח 151, תשי"ד, עמ' .92</w:t>
                  </w:r>
                </w:p>
                <w:p w:rsidR="00C50032" w:rsidRPr="00F724D3" w:rsidRDefault="00C5003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3 ס"ח 188, תשט"ו, עמ' .151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1" o:spid="_x0000_s1027" type="#_x0000_t202" style="position:absolute;left:0;text-align:left;margin-left:81.95pt;margin-top:101.55pt;width:474.2pt;height:541.55pt;z-index:2;mso-position-horizontal-relative:page;mso-position-vertical-relative:page" stroked="f">
            <v:textbox style="mso-next-textbox:#_x0000_s70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5"/>
                    <w:gridCol w:w="1314"/>
                  </w:tblGrid>
                  <w:tr w:rsidR="00C50032" w:rsidRPr="00F724D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50032" w:rsidRDefault="00C5003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חבר בני-אדם, מואגד או שאינו מואגד' הפועל שלא לשם השגת ריווח ועיקר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מטרותיו הן אחת מאלה: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סיוע לנזקקים: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קיום בתי תפילה או שירותים דתיים וסיפוק צרכי דת' ותעודה חתומה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 שר הדתות, כי מטרותיו של החבר הן כאמור, תשמש ראיה לכך;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טיפוח אמנות' תרבות, חינוך, השכלה או הכשרה מקצועית, ותעודה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חתומה ביד שר החינוך והתרבות כי מטרותיו של החבר הן כאמור' תשמש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לכך;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קיום מועדוני נוער' מועדוני מפלגות או מועדוני ספורט: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מטרה אחרת המכוונת לתועלת הציבור ואשר שר השיכון באישור ועדת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של הכנסת הכיר בה כמטרה לענין חוק זה?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מואגד" - מוסד שהוא אגודה שנרשמה על פי החוק העותמני על האגודות משנת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1327 (1909) או תאגיד אחר' הקדש דתי שנתמנה לו נציג כדין או הקדש שנוסד על פי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ההקדשות לצרכי צדקה1 ;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 בית דין לשכירות כמשמעותו בחוק הגנת הדייר, תשי"ד-2 1954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בית" - מי שהשכיר בנין או חלק מבנין (להלן - המושכר), בשכירות ראשית או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משנה, בין שהוא בעלו של המושכר ובין שאיננו בעלו, לרבות חליפיו של מי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שהשכיר כאמור?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"דייר" - מי שמחזיק במושכר' בשכירות ראשית או בשכירות משנה' על פי חוזה או מכוח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הגנת הדייר, תשט"ו-1955. 3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50032" w:rsidRPr="00F724D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מושכר ששימש כולו או רובו' למטרותיו של מוסד' בהסכמת בעל הבית' רשאי בית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על פי בקשת המוסד או על פי בקשת הדייר' להכריז על המוסד כעל שוכר המושכר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הדייר, או כשוכר החלק ששימש כאמור, לפי הענין (הכרזה כאמור תיקרא להלן-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השכירות).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שכירות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</w:t>
                        </w:r>
                      </w:p>
                    </w:tc>
                  </w:tr>
                  <w:tr w:rsidR="00C50032" w:rsidRPr="00F724D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            (א) לא ישתמש בית דין בסמכותו לפי סעיף 2, אלא אם שימש המושכר למטרות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באותו סעיף שימוש רצוף מלפני יום כ"ז באדר ב' תשי"ד (1 באפריל 1954) עד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הבקשה, והבקשה הוגשה לבית הדין תוך שנתיים מיום תחילתו של חוק זה.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המוסד בתקופה האמורה בסעיף קטן (א) חבר בני-אדם שאינו מואגד, לא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ישתמש בית דין בסמכותו לפי סעיף 2 אלא אם הואגד המוסד לפני הגשת הבקשה, ועיקר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מטרותיו זהות עם מטרותיו שלפני ההאגד.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הבקשה להעברת השכירות על ידי המוסד, לא ישתמש בית הדין בסמכותו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2, אלא אם שוכנע כי בכוונת המוסד להחזיק במושכר באותם התנאים שהחזיק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הדייר ולהשתמש בו למטרותיו.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לשימוש</w:t>
                        </w:r>
                      </w:p>
                    </w:tc>
                  </w:tr>
                  <w:tr w:rsidR="00C50032" w:rsidRPr="00F724D3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נתמלאו התנאים להעברת השכירות כאמור בסעיפים 2 ו-3, אין ההעברה טעונה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בעל-הבית, ואם הוגשה הבקשה על ידי המוסד' אין היא טעונה הסכמת הדייר.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הכרח</w:t>
                        </w:r>
                      </w:p>
                      <w:p w:rsidR="00C50032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בעל</w:t>
                        </w:r>
                      </w:p>
                      <w:p w:rsidR="00C50032" w:rsidRPr="00F724D3" w:rsidRDefault="00C50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או הדייר</w:t>
                        </w:r>
                      </w:p>
                    </w:tc>
                  </w:tr>
                </w:tbl>
                <w:p w:rsidR="00C50032" w:rsidRDefault="00C50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92" o:spid="_x0000_s1028" type="#_x0000_t202" style="position:absolute;left:0;text-align:left;margin-left:147.3pt;margin-top:71.45pt;width:273.85pt;height:24.95pt;z-index:1;mso-position-horizontal-relative:page;mso-position-vertical-relative:page" stroked="f">
            <v:textbox style="mso-next-textbox:#_x0000_s7092" inset="0,0,0,0">
              <w:txbxContent>
                <w:p w:rsidR="00C50032" w:rsidRPr="00F724D3" w:rsidRDefault="00C50032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הדייר (מוסדות ציבור), תשכ"ד-1964 *</w:t>
                  </w:r>
                </w:p>
              </w:txbxContent>
            </v:textbox>
            <w10:wrap anchorx="page" anchory="page"/>
          </v:shape>
        </w:pict>
      </w:r>
    </w:p>
    <w:p w:rsidR="00AB62B9" w:rsidRDefault="00AB62B9">
      <w:pPr>
        <w:rPr>
          <w:rtl/>
        </w:rPr>
      </w:pPr>
      <w:r>
        <w:rPr>
          <w:rtl/>
        </w:rPr>
        <w:br w:type="page"/>
      </w:r>
    </w:p>
    <w:p w:rsidR="00AB62B9" w:rsidRDefault="00000000">
      <w:pPr>
        <w:rPr>
          <w:rtl/>
        </w:rPr>
      </w:pPr>
      <w:r>
        <w:pict>
          <v:shape id="_x0000_s709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093" inset="0,0,0,0">
              <w:txbxContent>
                <w:p w:rsidR="00C50032" w:rsidRDefault="00C50032">
                  <w:r>
                    <w:rPr>
                      <w:rtl/>
                    </w:rPr>
                    <w:t>49                                           ספר החוקים 416                   כ"ב בשבט התשכ"ד 05.02.1964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4" o:spid="_x0000_s1030" type="#_x0000_t202" style="position:absolute;left:0;text-align:left;margin-left:361pt;margin-top:703.1pt;width:180pt;height:36.25pt;z-index:9;mso-position-horizontal-relative:page;mso-position-vertical-relative:page" stroked="f">
            <v:textbox style="mso-next-textbox:#_x0000_s7094" inset="0,0,0,0">
              <w:txbxContent>
                <w:p w:rsidR="00C50032" w:rsidRDefault="00C500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095" o:spid="_x0000_s1031" type="#_x0000_t202" style="position:absolute;left:0;text-align:left;margin-left:163pt;margin-top:596.35pt;width:98.2pt;height:41.4pt;z-index:8;mso-position-horizontal-relative:page;mso-position-vertical-relative:page" stroked="f">
            <v:textbox style="mso-next-textbox:#_x0000_s7095" inset="0,0,0,0">
              <w:txbxContent>
                <w:p w:rsidR="00C50032" w:rsidRDefault="00C50032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C50032" w:rsidRDefault="00C50032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6" o:spid="_x0000_s1032" type="#_x0000_t202" style="position:absolute;left:0;text-align:left;margin-left:290.5pt;margin-top:593.8pt;width:87.7pt;height:41.4pt;z-index:7;mso-position-horizontal-relative:page;mso-position-vertical-relative:page" stroked="f">
            <v:textbox style="mso-next-textbox:#_x0000_s7096" inset="0,0,0,0">
              <w:txbxContent>
                <w:p w:rsidR="00C50032" w:rsidRDefault="00C50032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50032" w:rsidRDefault="00C50032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7" o:spid="_x0000_s1033" type="#_x0000_t202" style="position:absolute;left:0;text-align:left;margin-left:414.45pt;margin-top:623.1pt;width:127.3pt;height:49.1pt;z-index:6;mso-position-horizontal-relative:page;mso-position-vertical-relative:page" stroked="f">
            <v:textbox style="mso-next-textbox:#_x0000_s7097" inset="0,0,0,0">
              <w:txbxContent>
                <w:p w:rsidR="00C50032" w:rsidRDefault="00C50032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50032" w:rsidRDefault="00C50032">
                  <w:pPr>
                    <w:pStyle w:val="OCRStyle2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98" o:spid="_x0000_s1034" type="#_x0000_t202" style="position:absolute;left:0;text-align:left;margin-left:79.45pt;margin-top:66.1pt;width:471.05pt;height:519.95pt;z-index:5;mso-position-horizontal-relative:page;mso-position-vertical-relative:page" stroked="f">
            <v:textbox style="mso-next-textbox:#_x0000_s70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222"/>
                  </w:tblGrid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הדין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המשפטים/ בהתייעצות עם שר השיכון, רשאי לקבוע בתקנות את סדרי הדין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 בהליכים לפי חוק זה (להלן - תקנות סדרי הדין) ובמידה שלא נקבעה בהן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יחולו סדרי הדין החלים לפי חדק הגנת הדייר. תשי"ד-1954.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המשיבים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.הוגשה הבקשה להעברת שכירות על ידי המוסד בלבד' יהיה גם הדייר למשיב' בנוסף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הבית' ואם נפטר - יהיה למשיב מי שהיה לדייר על פי הפרק השני לחוק הגנת הדייר'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תשט"ו-1955' אם היה אדם לדייר כאמור.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כשאין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לא התגונן המשיב תוך המועד שנקבע לכך בתקנות סדרי הדין ובית-הדין היה משוכנע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נתמלאו התנאים שנקבעו בסעיפים 2 ו-3 להעברת השכירות, יהיה רשאי להכריז על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על סמך החומר שלפניו בלי לקיים דיון.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והוצאה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הוראות הפרק הרביעי לחוק הגנת הדייר' תשי"ד-1954' יחולו על הליכים לפי חוק זה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הליכים לפי החוק האמור' ככל שאין הוראה אחרת בחוק זה.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שנפטר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מושכר שנתמלאו בו התנאים האמורים בסעיף 2 ולפני תום שנתיים מיום תחילתו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נפטר הדייר' או חדל מהחזיק במושכר -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המוסד להמשיך בכל הליך המכוון להעברת השכירות' שהתחיל בו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הדייר;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ידון ולא יפסוק בית משפט בתביעת פינוי או סילוק יד ביחס למושכר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היחידה היא מותו של הדייר או חדילת החזקתו במושכר' אלא לאחר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תחילתו של חוק זה' ואם הוגשה בקשה להעברת השכירות תוך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השנתיים כאמור - עד שתהיה באותה בקשה החלטה שאין עליה ערעור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עוד.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(2) אין נפקא מינה -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נפטר הדייר או חדל מהחזיק במושכר לפני תחילתו של חוק זה או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לאחריה;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התביעה לפינוי או סילוק יד כאמור בו הוגשה לפני תחילתו של חוק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לאחריה ובלבד שלא ניתן בה' לפני תחילתו של חוק זה' פסק דין שאין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ערעור עוד.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וחובות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מוסד שהועברה אליו השכירות של מושכר יבוא' מיום ההכרזה' במקום הדייר בכל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לזכויותיו וחובותיו כלפי בעל הבית ביחס למושכר' וכל עילת תביעה שהיתה קיימת</w:t>
                        </w:r>
                      </w:p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אותו יום, שלא לפי חוק זה' נגד הדייר בקשר למושכר' תעמוד מאותו יום ואילך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המוסד.</w:t>
                        </w:r>
                      </w:p>
                    </w:tc>
                  </w:tr>
                  <w:tr w:rsidR="00C50032" w:rsidRPr="00AB62B9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50032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השיכון ממונה על ביצוע חוק זה והוא רשאי להתקין תקנות לביצועו' למעט</w:t>
                        </w:r>
                      </w:p>
                      <w:p w:rsidR="00C50032" w:rsidRPr="00AB62B9" w:rsidRDefault="00C500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שהתקנתן מסורה בחוק זה לשר המשפטים.</w:t>
                        </w:r>
                      </w:p>
                    </w:tc>
                  </w:tr>
                </w:tbl>
                <w:p w:rsidR="00C50032" w:rsidRDefault="00C500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50032" w:rsidRDefault="00C50032">
      <w:pPr>
        <w:rPr>
          <w:rtl/>
        </w:rPr>
      </w:pPr>
      <w:r>
        <w:rPr>
          <w:rtl/>
        </w:rPr>
        <w:br w:type="page"/>
      </w:r>
    </w:p>
    <w:p w:rsidR="00C50032" w:rsidRDefault="00000000">
      <w:pPr>
        <w:rPr>
          <w:rtl/>
        </w:rPr>
      </w:pPr>
      <w:r>
        <w:pict>
          <v:shape id="_x0000_s709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099" inset="0,0,0,0">
              <w:txbxContent>
                <w:p w:rsidR="00C50032" w:rsidRDefault="00C50032">
                  <w:r>
                    <w:rPr>
                      <w:rtl/>
                    </w:rPr>
                    <w:t>50                                           ספר החוקים 416                   כ"ב בשבט התשכ"ד 05.02.1964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7100" o:spid="_x0000_s1036" type="#_x0000_t202" style="position:absolute;left:0;text-align:left;margin-left:93.75pt;margin-top:699.3pt;width:167.9pt;height:37.8pt;z-index:11;mso-position-horizontal-relative:page;mso-position-vertical-relative:page" stroked="f">
            <v:textbox style="mso-next-textbox:#_x0000_s7100" inset="0,0,0,0">
              <w:txbxContent>
                <w:p w:rsidR="00C50032" w:rsidRDefault="00C5003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24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C07FF4-D8C8-4D3D-B971-678E698D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24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B62B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500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2008-04-06T20:00:00Z</dcterms:created>
  <dcterms:modified xsi:type="dcterms:W3CDTF">2008-04-06T20:00:00Z</dcterms:modified>
</cp:coreProperties>
</file>