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50B2" w:rsidRDefault="00E750B2">
      <w:pPr>
        <w:rPr>
          <w:rtl/>
        </w:rPr>
      </w:pPr>
    </w:p>
    <w:p w:rsidR="00E750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1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111" inset="0,0,0,0">
              <w:txbxContent>
                <w:p w:rsidR="00E83669" w:rsidRDefault="00E83669">
                  <w:r>
                    <w:rPr>
                      <w:rtl/>
                    </w:rPr>
                    <w:t>220                                          ספר החוקים 539                    כ"ו באב התשכ"ח 20.08.1968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7112" o:spid="_x0000_s1026" type="#_x0000_t202" style="position:absolute;left:0;text-align:left;margin-left:95.1pt;margin-top:670pt;width:384.9pt;height:83.35pt;z-index:3;mso-wrap-style:none;mso-position-horizontal-relative:page;mso-position-vertical-relative:page" stroked="f">
            <v:textbox style="mso-next-textbox:#_x0000_s7112" inset="0,0,0,0">
              <w:txbxContent>
                <w:p w:rsidR="00E83669" w:rsidRDefault="00E83669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באב תשכ"ח (12 באוגוסט 1968); הצעת החוק ודברי הסבר פורסמה בה"ח 770, תשכ"ח</w:t>
                  </w:r>
                </w:p>
                <w:p w:rsidR="00E83669" w:rsidRDefault="00E83669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עמ' 196.</w:t>
                  </w:r>
                </w:p>
                <w:p w:rsidR="00E83669" w:rsidRDefault="00E83669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 ס''ח תשט"ו, עמ' 151: ס''ח תשכ"א, עמ' 140.</w:t>
                  </w:r>
                </w:p>
                <w:p w:rsidR="00E83669" w:rsidRPr="00E750B2" w:rsidRDefault="00E83669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2 ס"ח תשי"ח, עמ' .177</w:t>
                  </w:r>
                </w:p>
              </w:txbxContent>
            </v:textbox>
            <w10:wrap anchorx="page" anchory="page"/>
          </v:shape>
        </w:pict>
      </w:r>
      <w:r>
        <w:pict>
          <v:shape id="_x0000_s7113" o:spid="_x0000_s1027" type="#_x0000_t202" style="position:absolute;left:0;text-align:left;margin-left:85.6pt;margin-top:101.95pt;width:475.2pt;height:564.5pt;z-index:2;mso-wrap-style:none;mso-position-horizontal-relative:page;mso-position-vertical-relative:page" stroked="f">
            <v:textbox style="mso-next-textbox:#_x0000_s7113" inset="0,0,0,0">
              <w:txbxContent>
                <w:tbl>
                  <w:tblPr>
                    <w:tblW w:w="50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03"/>
                    <w:gridCol w:w="1345"/>
                    <w:gridCol w:w="1194"/>
                  </w:tblGrid>
                  <w:tr w:rsidR="00E83669" w:rsidRPr="00E750B2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E83669" w:rsidRDefault="00E8366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הגנת הדייר, תשט"ו-1955 1 (להלן - חוק תשט"ו), בסעיף 1, אחרי הגדרת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יבוא: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""חוק דמי מפתח" - חוק דמי מפתח, תשי"ח-1958 2;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מפתח" - במשמעותם בחוק דמי מפתח, אפילו שולמו לפני תחילתו</w:t>
                        </w:r>
                      </w:p>
                      <w:p w:rsidR="00E83669" w:rsidRPr="00E750B2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החוק האמור."</w:t>
                        </w:r>
                      </w:p>
                    </w:tc>
                    <w:tc>
                      <w:tcPr>
                        <w:tcW w:w="691" w:type="pc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לחוק הגנת</w:t>
                        </w:r>
                      </w:p>
                      <w:p w:rsidR="00E83669" w:rsidRPr="00E750B2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הדייר, תשט"ו</w:t>
                        </w:r>
                      </w:p>
                    </w:tc>
                  </w:tr>
                  <w:tr w:rsidR="00E83669" w:rsidRPr="00E750B2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E83669" w:rsidRPr="00E750B2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8 לחוק תשט"ו יבוא:</w:t>
                        </w:r>
                      </w:p>
                    </w:tc>
                    <w:tc>
                      <w:tcPr>
                        <w:tcW w:w="691" w:type="pct"/>
                        <w:vMerge w:val="restar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83669" w:rsidRPr="00E750B2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8א-8ו</w:t>
                        </w:r>
                      </w:p>
                    </w:tc>
                  </w:tr>
                  <w:tr w:rsidR="00E83669">
                    <w:trPr>
                      <w:jc w:val="right"/>
                    </w:trPr>
                    <w:tc>
                      <w:tcPr>
                        <w:tcW w:w="3531" w:type="pc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דירה או בית עסק (להלן - נכס) שביום תחילתו של חוק הגנת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(הוראות שונות), תשכ"ח-1968 (להלן - חוק תשכ"ח), אין דייר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להחזיק בהם - לא יחולו עוד על שכירותם הוראות חוק זה כל עוד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יושכרו בדמי מפתח.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E83669" w:rsidRPr="00E750B2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''נכס פנוי</w:t>
                        </w:r>
                      </w:p>
                    </w:tc>
                    <w:tc>
                      <w:tcPr>
                        <w:tcW w:w="691" w:type="pct"/>
                        <w:vMerge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83669">
                    <w:trPr>
                      <w:jc w:val="right"/>
                    </w:trPr>
                    <w:tc>
                      <w:tcPr>
                        <w:tcW w:w="3531" w:type="pc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נכס אשר אחרי תחילתו של חוק תשכ"ח נתפנה מכל דייר הזכאי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בו, בין שנתפנה מכוח פסק דין של בית משפט ובין שנתפנה כדין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סיבה אחרת, לא יחולו עוד על שבירותו הוראות חוק זה כל עוד לא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יושכר בדמי מפתח ; האמור בסעיף זה יחול גם אם בעל הבית עצמו היה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שהחזיק בנכם בתכוף לפני שנתפנה.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E83669" w:rsidRPr="00E750B2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שנתפנה</w:t>
                        </w:r>
                      </w:p>
                    </w:tc>
                    <w:tc>
                      <w:tcPr>
                        <w:tcW w:w="691" w:type="pc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83669">
                    <w:trPr>
                      <w:jc w:val="right"/>
                    </w:trPr>
                    <w:tc>
                      <w:tcPr>
                        <w:tcW w:w="3531" w:type="pc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8ג. נכס אשר אחרי תחילתו של חוק תשכ"ח נתפנה בנסיבות המפורטות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14 ו-15 (1) או 30 ו-31 (1) לחוק דמי מפתח - לא יחולו עוד על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שבירותו הוראות חוק זה כל עוד לא יושכר בדמי מפתח והוא הדין אם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הוחזר הנכס לבעל הבית בנסיבות המפורטות בסעיפים 15 (2) או 31 (2)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דמי מפתח, לאחר שפסק בית הדין לפי סעיף 17 לאותו חוק על עצם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של הדייר לדמי המפתח, על סכום דמי המפתח או על חלוקתם.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שהוחזר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דמי</w:t>
                        </w:r>
                      </w:p>
                      <w:p w:rsidR="00E83669" w:rsidRPr="00E750B2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מפתח</w:t>
                        </w:r>
                      </w:p>
                    </w:tc>
                    <w:tc>
                      <w:tcPr>
                        <w:tcW w:w="691" w:type="pc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83669">
                    <w:trPr>
                      <w:jc w:val="right"/>
                    </w:trPr>
                    <w:tc>
                      <w:tcPr>
                        <w:tcW w:w="3531" w:type="pc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8ד. נכס אשר אחרי תחילתו של חוק תשכ"ח, נתפנה שלא בנסיבות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בסעיפים 8ב או 8ג, מכוח הסכם בכתב בין בעל הבית לבין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הדייר, באישור בית המשפט או בית הדין - לא יחולו עוד על שבירותו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כל עוד לא יושכר בדמי מפתח; שר המשפטים יקבע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סדרי דין בהליכים לאישור הסכם כאמור בסעיף זה.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שהוחזר</w:t>
                        </w:r>
                      </w:p>
                      <w:p w:rsidR="00E83669" w:rsidRPr="00E750B2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הסכם</w:t>
                        </w:r>
                      </w:p>
                    </w:tc>
                    <w:tc>
                      <w:tcPr>
                        <w:tcW w:w="691" w:type="pc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83669">
                    <w:trPr>
                      <w:jc w:val="right"/>
                    </w:trPr>
                    <w:tc>
                      <w:tcPr>
                        <w:tcW w:w="3531" w:type="pc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8ה. האמור בסעיפים 8א עד 8ד לא יחול, אם הנכס שמדובר בו באותם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אינו יחידה בפני עצמה, וכל היחידות שהנכס קשור בהן מושכרות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בשכירות שחוק זה חל עליה? לענין זה יחידה בפני עצמה היא, בדירה -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יש לה כניסה נפרדת, מטבח נפרד ושירותים נפרדים, ובבית עסק -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לו כניסה משותפת עם בית עסק אחר.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E83669" w:rsidRPr="00E750B2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לאי-תחולה</w:t>
                        </w:r>
                      </w:p>
                    </w:tc>
                    <w:tc>
                      <w:tcPr>
                        <w:tcW w:w="691" w:type="pc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83669">
                    <w:trPr>
                      <w:jc w:val="right"/>
                    </w:trPr>
                    <w:tc>
                      <w:tcPr>
                        <w:tcW w:w="3531" w:type="pc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8ו. (א) נכס בבנין או בתוספת בנין שבנייתם הושלמה לאחר יום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תשכ"ח, והושכר אחרי מועד זה, לא יחולו על שבירותו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נכס בבנין או בתוספת בנין שנמצא בידי דייר ביום תחילתו</w:t>
                        </w:r>
                      </w:p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תשכ"ח בנסיבות שהיו מפורטות בסעיפים 2 או 3 לחוק הגנת</w:t>
                        </w:r>
                      </w:p>
                    </w:tc>
                    <w:tc>
                      <w:tcPr>
                        <w:tcW w:w="778" w:type="pct"/>
                      </w:tcPr>
                      <w:p w:rsidR="00E83669" w:rsidRPr="00E750B2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חדשים</w:t>
                        </w:r>
                      </w:p>
                    </w:tc>
                    <w:tc>
                      <w:tcPr>
                        <w:tcW w:w="691" w:type="pct"/>
                      </w:tcPr>
                      <w:p w:rsidR="00E83669" w:rsidRDefault="00E83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</w:tbl>
                <w:p w:rsidR="00E83669" w:rsidRDefault="00E836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114" o:spid="_x0000_s1028" type="#_x0000_t202" style="position:absolute;left:0;text-align:left;margin-left:155.5pt;margin-top:78.55pt;width:273.65pt;height:23.15pt;z-index:1;mso-wrap-style:none;mso-position-horizontal-relative:page;mso-position-vertical-relative:page" stroked="f">
            <v:textbox style="mso-next-textbox:#_x0000_s7114" inset="0,0,0,0">
              <w:txbxContent>
                <w:p w:rsidR="00E83669" w:rsidRPr="00E750B2" w:rsidRDefault="00E83669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הגנת הדייר (הוראות שונות), תשכ"ח-1968 *</w:t>
                  </w:r>
                </w:p>
              </w:txbxContent>
            </v:textbox>
            <w10:wrap anchorx="page" anchory="page"/>
          </v:shape>
        </w:pict>
      </w:r>
    </w:p>
    <w:p w:rsidR="00072D0E" w:rsidRDefault="00072D0E">
      <w:pPr>
        <w:rPr>
          <w:rtl/>
        </w:rPr>
      </w:pPr>
      <w:r>
        <w:rPr>
          <w:rtl/>
        </w:rPr>
        <w:br w:type="page"/>
      </w:r>
    </w:p>
    <w:p w:rsidR="00072D0E" w:rsidRDefault="00000000">
      <w:pPr>
        <w:rPr>
          <w:rtl/>
        </w:rPr>
      </w:pPr>
      <w:r>
        <w:pict>
          <v:shape id="_x0000_s711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115" inset="0,0,0,0">
              <w:txbxContent>
                <w:p w:rsidR="00E83669" w:rsidRDefault="00E83669">
                  <w:r>
                    <w:rPr>
                      <w:rtl/>
                    </w:rPr>
                    <w:t>221                                          ספר החוקים 539                    כ"ו באב התשכ"ח 20.08.1968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7116" o:spid="_x0000_s1030" type="#_x0000_t202" style="position:absolute;left:0;text-align:left;margin-left:348.3pt;margin-top:671.6pt;width:199.8pt;height:90.5pt;z-index:6;mso-wrap-style:none;mso-position-horizontal-relative:page;mso-position-vertical-relative:page" stroked="f">
            <v:textbox style="mso-next-textbox:#_x0000_s7116" inset="0,0,0,0">
              <w:txbxContent>
                <w:p w:rsidR="00E83669" w:rsidRDefault="00E83669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3 ס"ח תשי"ג, עמ' 148.</w:t>
                  </w:r>
                </w:p>
                <w:p w:rsidR="00E83669" w:rsidRDefault="00E83669">
                  <w:pPr>
                    <w:pStyle w:val="OCRStyle2"/>
                    <w:ind w:left="54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תשט"ו, עמ' 46.</w:t>
                  </w:r>
                </w:p>
                <w:p w:rsidR="00E83669" w:rsidRPr="00072D0E" w:rsidRDefault="00E83669">
                  <w:pPr>
                    <w:pStyle w:val="OCRStyle2"/>
                    <w:ind w:left="54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0 ס"ח תשכ"א, עמ' .201</w:t>
                  </w:r>
                </w:p>
              </w:txbxContent>
            </v:textbox>
            <w10:wrap anchorx="page" anchory="page"/>
          </v:shape>
        </w:pict>
      </w:r>
      <w:r>
        <w:pict>
          <v:shape id="_x0000_s7117" o:spid="_x0000_s1031" type="#_x0000_t202" style="position:absolute;left:0;text-align:left;margin-left:81.4pt;margin-top:58.8pt;width:459.15pt;height:609.05pt;z-index:5;mso-wrap-style:none;mso-position-horizontal-relative:page;mso-position-vertical-relative:page" stroked="f">
            <v:textbox style="mso-next-textbox:#_x0000_s7117" inset="0,0,0,0">
              <w:txbxContent>
                <w:tbl>
                  <w:tblPr>
                    <w:tblW w:w="48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7013"/>
                  </w:tblGrid>
                  <w:tr w:rsidR="00E83669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0" w:type="pct"/>
                      </w:tcPr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(בנינים חדשים), תשי"ג-1953 3, או בסעיף 1 לחוק הגנת הדייר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(בנינים חדשים), תשט"ו-1955 4, ובגלל זה לא חל על שבירותו חוק זה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תחילתו של חוק תשכ"ח - לא יחול עוד חוק זה על שבירותו אף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תחילתו של חוק תשכ"ח ולאחר שתמה תקופת השכירות לפי החוזה,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נקבע בחוזה השכירות שנעשה לפני תחילתו של חוק תשכ"ח,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משתמע ממנו, כי חוק זה יחול עליה.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דייר ששילם, בשכירות נכס שסעיפים קטנים (א) או (ב)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חלים עליו, חלק מהשקעות הבניה, יהא רשאי, תוך תקופה המסתיימת שנה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לפני תום חוזה השכירות, להעביר את חוזה השכירות שלו לדייר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על אף כל הוראה מנוגדת לכך בחוזה השכירות, ובלבד שבהעברת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השכירות של בית עסק לא יהיה הדייר החדש רשאי להשתמש בבית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 אלא למטרות שלהן שימש לפני ההעברה."</w:t>
                        </w:r>
                      </w:p>
                    </w:tc>
                  </w:tr>
                  <w:tr w:rsidR="00E83669" w:rsidRPr="00072D0E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E83669" w:rsidRDefault="00E836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E83669" w:rsidRPr="00072D0E" w:rsidRDefault="00E836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E83669" w:rsidRPr="00072D0E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14 לחוק תשט"ו אחרי "1 עד 7" יבוא "8א עד 8ו".</w:t>
                        </w:r>
                      </w:p>
                    </w:tc>
                  </w:tr>
                  <w:tr w:rsidR="00E83669" w:rsidRPr="00072D0E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E83669" w:rsidRPr="00072D0E" w:rsidRDefault="00E836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E83669" w:rsidRDefault="00E836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30 לחוק תשט"ו -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החזיק אדם בנכס כשהוא בעלו או חוברו לתקופה של עשרים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 שנים או יותר (בסעיף זה - חוכר-לדורות), או אחד הבעלים או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החוכרים כאמור, ופקעה זכותו בנכס מחמת מכירתו בהוצאה לפועל של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פסק-דין או של משכנתה או בפשיטת רגל, או מחמת חלוקת הנכס במשפט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חלוקה או בהסדר קרקעות או מחמת חלוקתו על ידי רישום בפנקס הבתים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המשותפים כאמור בסעיף 79 לחוק בתים משותפים ננוסח משולב],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תשכ"א-1961 5 - יהיה המחזיק לדייר של בעלו החדש של הנכס, או של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החוכר-לדורות החדש,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בעל או חוכר-לדורות של נכס כאמור בסעיף קטן (א)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שהיה לדייר בו כאמור באותו סעיף, יהיה בן-זוגו לדייר, ובלבד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שהשנים היו בני-זוג לפחות ששה חדשים בסמוך לפטירת הבעל או החוכר,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והיו מתגוררים יחד בתקופה זו; ובאין בן-זוג יהיו ילדיו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לדיירים, ובאין ילדים - קרוביו האחרים, הכל בתנאי שהיו מתגוררים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אתו יחד בנכס ששה חדשים סמוך לפטירתו ולא היתה להם בזמן פטירתו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אחרת למגורים."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(ב) ו-(ג) יסומנו "(ג) ו-(ד)";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(ד) יבוא: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החזיק אדם בנכס כשהוא אחד מבעליו או מחוכריו-לדורות,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ופקעה זכותו בנכס מחמת מכירת חלקו של שותפו, בין מרצון ובין בהוצאה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של פסק דין או של משכנתה או בפשיטת רגל - יהיה המחזיק</w:t>
                        </w:r>
                      </w:p>
                      <w:p w:rsidR="00E83669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 של בעלו החדש של הנכס, או של חוכרו-לדורות החדש, לפי</w:t>
                        </w:r>
                      </w:p>
                      <w:p w:rsidR="00E83669" w:rsidRPr="00072D0E" w:rsidRDefault="00E836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הענין".</w:t>
                        </w:r>
                      </w:p>
                    </w:tc>
                  </w:tr>
                </w:tbl>
                <w:p w:rsidR="00E83669" w:rsidRDefault="00E8366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83669" w:rsidRDefault="00E83669">
      <w:pPr>
        <w:rPr>
          <w:rtl/>
        </w:rPr>
      </w:pPr>
      <w:r>
        <w:rPr>
          <w:rtl/>
        </w:rPr>
        <w:br w:type="page"/>
      </w:r>
    </w:p>
    <w:p w:rsidR="00E83669" w:rsidRDefault="00000000">
      <w:pPr>
        <w:rPr>
          <w:rtl/>
        </w:rPr>
      </w:pPr>
      <w:r>
        <w:pict>
          <v:shape id="_x0000_s711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7118" inset="0,0,0,0">
              <w:txbxContent>
                <w:p w:rsidR="00E83669" w:rsidRDefault="00E83669">
                  <w:r>
                    <w:rPr>
                      <w:rtl/>
                    </w:rPr>
                    <w:t>222                                          ספר החוקים 539                    כ"ו באב התשכ"ח 20.08.1968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7119" o:spid="_x0000_s1033" type="#_x0000_t202" style="position:absolute;left:0;text-align:left;margin-left:89.35pt;margin-top:686.35pt;width:406.3pt;height:74.45pt;z-index:12;mso-wrap-style:none;mso-position-horizontal-relative:page;mso-position-vertical-relative:page" stroked="f">
            <v:textbox style="mso-next-textbox:#_x0000_s7119" inset="0,0,0,0">
              <w:txbxContent>
                <w:p w:rsidR="00E83669" w:rsidRDefault="00E83669">
                  <w:pPr>
                    <w:pStyle w:val="OCRStyle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6 ס"ח תשכ"ה, עמ' 307.</w:t>
                  </w:r>
                </w:p>
                <w:p w:rsidR="00E83669" w:rsidRPr="00E83669" w:rsidRDefault="00E83669">
                  <w:pPr>
                    <w:pStyle w:val="OCRStyle3"/>
                    <w:ind w:left="428"/>
                  </w:pPr>
                  <w:r>
                    <w:rPr>
                      <w:rtl/>
                    </w:rPr>
                    <w:t>7 חוקי א"י, כרך ג', פרק פ"א, עמ' .855</w:t>
                  </w:r>
                </w:p>
              </w:txbxContent>
            </v:textbox>
            <w10:wrap anchorx="page" anchory="page"/>
          </v:shape>
        </w:pict>
      </w:r>
      <w:r>
        <w:pict>
          <v:shape id="_x0000_s7120" o:spid="_x0000_s1034" type="#_x0000_t202" style="position:absolute;left:0;text-align:left;margin-left:123.25pt;margin-top:567.55pt;width:99pt;height:37.8pt;z-index:11;mso-wrap-style:none;mso-position-horizontal-relative:page;mso-position-vertical-relative:page" stroked="f">
            <v:textbox style="mso-next-textbox:#_x0000_s7120" inset="0,0,0,0">
              <w:txbxContent>
                <w:p w:rsidR="00E83669" w:rsidRDefault="00E83669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מרדכי בנטוב</w:t>
                  </w:r>
                </w:p>
                <w:p w:rsidR="00E83669" w:rsidRDefault="00E83669">
                  <w:pPr>
                    <w:pStyle w:val="OCRStyle3"/>
                    <w:ind w:left="450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121" o:spid="_x0000_s1035" type="#_x0000_t202" style="position:absolute;left:0;text-align:left;margin-left:242.05pt;margin-top:567.55pt;width:103.75pt;height:40.6pt;z-index:10;mso-wrap-style:none;mso-position-horizontal-relative:page;mso-position-vertical-relative:page" stroked="f">
            <v:textbox style="mso-next-textbox:#_x0000_s7121" inset="0,0,0,0">
              <w:txbxContent>
                <w:p w:rsidR="00E83669" w:rsidRDefault="00E83669">
                  <w:pPr>
                    <w:pStyle w:val="OCRStyle3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83669" w:rsidRDefault="00E83669">
                  <w:pPr>
                    <w:pStyle w:val="OCRStyle3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122" o:spid="_x0000_s1036" type="#_x0000_t202" style="position:absolute;left:0;text-align:left;margin-left:364.6pt;margin-top:593.9pt;width:132.05pt;height:45.35pt;z-index:9;mso-wrap-style:none;mso-position-horizontal-relative:page;mso-position-vertical-relative:page" stroked="f">
            <v:textbox style="mso-next-textbox:#_x0000_s7122" inset="0,0,0,0">
              <w:txbxContent>
                <w:p w:rsidR="00E83669" w:rsidRDefault="00E83669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E83669" w:rsidRDefault="00E83669">
                  <w:pPr>
                    <w:pStyle w:val="OCRStyle3"/>
                    <w:ind w:left="6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123" o:spid="_x0000_s1037" type="#_x0000_t202" style="position:absolute;left:0;text-align:left;margin-left:88.4pt;margin-top:65pt;width:480.95pt;height:494pt;z-index:8;mso-wrap-style:none;mso-position-horizontal-relative:page;mso-position-vertical-relative:page" stroked="f">
            <v:textbox style="mso-next-textbox:#_x0000_s7123" inset="0,0,0,0">
              <w:txbxContent>
                <w:tbl>
                  <w:tblPr>
                    <w:tblW w:w="51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9"/>
                    <w:gridCol w:w="1408"/>
                    <w:gridCol w:w="1368"/>
                  </w:tblGrid>
                  <w:tr w:rsidR="00E83669" w:rsidRPr="00E83669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33 לחוק תשט"ו, אחרי פסקה (5) יבוא: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להתקין על גג הבית שבו נמצא המושכר תורן לאנטנה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טלוויזיה או של רדיו או דוד שמש, הכל בכפוף לאמור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33א, ובתנאי שיובטח כי בעל הבית יהיה רשאי להוריד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התורן או הדוד כדי לאפשר עבודות בניה על הגג מכוח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בניה שהשיג על פי הוראות חוק התכנון והבניה,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 6 (להלן - חוק התכנון), ויהיה חייב להקימו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 עם גמר הבניה."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83669" w:rsidRP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E83669" w:rsidRPr="00E83669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83669" w:rsidRP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33 לחוק תשט"ו יבוא: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83669" w:rsidRP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33א</w:t>
                        </w:r>
                      </w:p>
                    </w:tc>
                  </w:tr>
                  <w:tr w:rsidR="00E83669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33א, (א) הוגשה בקשה להרשות התקנת תורן או דוד על גג של בית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33 (6), תימסר הודעה על הבקשה לכל יתר דיירי הבית,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דייר יהיה רשאי להצטרף כבעל דין לדיון, בדרך ובמועד שקבע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בתקנות.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הדן בבקשה על פי סעיף 33 (6), רשאי גם להתיר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שיתופו של המבקש בתורן קיים, וכן רשאי הוא לקבוע תנאים בקשר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לצורת החיבורים של התורן או הדוד.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הדין הדן בבקשה על פי סעיף 33 (6), יתחשב גם בשימוש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הבית בגג ובחלקים אחרים של הבית, שהוא שימוש קיים.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ירשה בית הדין התקנה או שיתוף כאמור בסעיף זה, אלא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נוכח שההתקנה הותרה גם על פי חוק התכנון או מכוחו."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"דיון בענין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אנטנה או</w:t>
                        </w:r>
                      </w:p>
                      <w:p w:rsidR="00E83669" w:rsidRP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דוד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83669" w:rsidRPr="00E83669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על אף האמור בפקודת העברת קרקעות ל, שכירות לתקופה שאינה עולה על עשר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בדירה או בבית עסק שחוק הגנת הדייר, תשי"ד-1954, וחוק תשט"ו אינם חלים עליה,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עמה ברירה להאריכה לתקופה העולה על עשר שנים - אינה טעונה רישום בפנקסי</w:t>
                        </w:r>
                      </w:p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המקרקעין; אין בסעיף זה כדי למנוע רישום שכירות לתקופה של עשר שנים או פחות, אם</w:t>
                        </w:r>
                      </w:p>
                      <w:p w:rsidR="00E83669" w:rsidRP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ביקשו זאת הצדדים לחוזה השכירות.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טטור מרישום</w:t>
                        </w:r>
                      </w:p>
                      <w:p w:rsidR="00E83669" w:rsidRP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מקרקעין</w:t>
                        </w:r>
                      </w:p>
                    </w:tc>
                  </w:tr>
                  <w:tr w:rsidR="00E83669" w:rsidRPr="00E83669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חוק הגנת הדייר (בנינים חדשים), תשי"ג-1953, וחוק הגנת הדייר (בנינים חדשים),</w:t>
                        </w:r>
                      </w:p>
                      <w:p w:rsidR="00E83669" w:rsidRP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תשט"ו-1955 - בטלים.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83669" w:rsidRP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E83669" w:rsidRPr="00E83669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83669" w:rsidRP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השיכון ממונה על ביצוע חוק זה והוא רשאי להתקין תקנות לביצועו.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83669" w:rsidRPr="00E83669" w:rsidRDefault="00E836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E83669" w:rsidRDefault="00E836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750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9B53DC-FFDC-4DF4-88BE-91BCD66FD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750B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72D0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8366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2008-04-09T14:34:00Z</dcterms:created>
  <dcterms:modified xsi:type="dcterms:W3CDTF">2008-04-09T14:34:00Z</dcterms:modified>
</cp:coreProperties>
</file>