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7247" w:rsidRDefault="00E17247">
      <w:pPr>
        <w:rPr>
          <w:rtl/>
        </w:rPr>
      </w:pPr>
    </w:p>
    <w:p w:rsidR="00E172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1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196" inset="0,0,0,0">
              <w:txbxContent>
                <w:p w:rsidR="004773B5" w:rsidRDefault="004773B5">
                  <w:r>
                    <w:rPr>
                      <w:rtl/>
                    </w:rPr>
                    <w:t>36                                           ספר החוקים 587                 י"ז באדר ב' התש"ל 25.03.1970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7197" o:spid="_x0000_s1026" type="#_x0000_t202" style="position:absolute;left:0;text-align:left;margin-left:85.15pt;margin-top:579.15pt;width:381.35pt;height:166.7pt;z-index:3;mso-wrap-style:none;mso-position-horizontal-relative:page;mso-position-vertical-relative:page" stroked="f">
            <v:textbox style="mso-next-textbox:#_x0000_s7197" inset="0,0,0,0">
              <w:txbxContent>
                <w:p w:rsidR="004773B5" w:rsidRDefault="004773B5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באדר בי תש"ל (16 במרס 1970); הצעת החוק ודברי הסבר פורסמו בה"ח 844, תשכ"ט,</w:t>
                  </w:r>
                </w:p>
                <w:p w:rsidR="004773B5" w:rsidRDefault="004773B5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עמ' 306.</w:t>
                  </w:r>
                </w:p>
                <w:p w:rsidR="004773B5" w:rsidRDefault="004773B5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 ס"ה 206, תשט"ז, עמ' 79; ס"ח 478, תשכ"ו, עמ' 44.</w:t>
                  </w:r>
                </w:p>
                <w:p w:rsidR="004773B5" w:rsidRDefault="004773B5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אי פרק ל"ד, עמ' 439.</w:t>
                  </w:r>
                </w:p>
                <w:p w:rsidR="004773B5" w:rsidRPr="00E17247" w:rsidRDefault="004773B5">
                  <w:pPr>
                    <w:pStyle w:val="OCRStyle1"/>
                    <w:ind w:left="2725"/>
                  </w:pPr>
                  <w:r>
                    <w:rPr>
                      <w:rtl/>
                    </w:rPr>
                    <w:t>&lt;</w:t>
                  </w:r>
                </w:p>
              </w:txbxContent>
            </v:textbox>
            <w10:wrap anchorx="page" anchory="page"/>
          </v:shape>
        </w:pict>
      </w:r>
      <w:r>
        <w:pict>
          <v:shape id="_x0000_s7198" o:spid="_x0000_s1027" type="#_x0000_t202" style="position:absolute;left:0;text-align:left;margin-left:74.65pt;margin-top:111.25pt;width:483.5pt;height:464.7pt;z-index:2;mso-wrap-style:none;mso-position-horizontal-relative:page;mso-position-vertical-relative:page" stroked="f">
            <v:textbox style="mso-next-textbox:#_x0000_s7198" inset="0,0,0,0">
              <w:txbxContent>
                <w:tbl>
                  <w:tblPr>
                    <w:tblW w:w="51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1"/>
                    <w:gridCol w:w="1268"/>
                    <w:gridCol w:w="1523"/>
                  </w:tblGrid>
                  <w:tr w:rsidR="004773B5" w:rsidRPr="00E17247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4773B5" w:rsidRDefault="004773B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 לחוק הגנת הצומח, תשט"ז-1956 1(להלן - החוק העיקרי), ברישה, במקום</w:t>
                        </w:r>
                      </w:p>
                      <w:p w:rsidR="004773B5" w:rsidRPr="00E17247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"התפשטות נגעים" יבוא "נגעים והתפשטותם".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773B5" w:rsidRPr="00E17247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4773B5" w:rsidRPr="00E17247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4773B5" w:rsidRPr="00E17247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.האמור בסעיף 2א לחוק העיקרי יסומן 2א1 ולפניו יבוא: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773B5" w:rsidRPr="00E17247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כותרת</w:t>
                        </w:r>
                      </w:p>
                    </w:tc>
                  </w:tr>
                  <w:tr w:rsidR="004773B5" w:rsidRPr="00E17247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שר החקלאות רשאי, בצו, להסדיר, להגביל או לאסור יבואם, אריזתם,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מכירתם והפצתם של המרים המיועדים לויסות הצמיחה של צמחים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ולויסות היבול."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"וזמרים לויסות</w:t>
                        </w:r>
                      </w:p>
                      <w:p w:rsidR="004773B5" w:rsidRPr="00E17247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הצמיחה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773B5" w:rsidRPr="00E17247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סעיף 2א</w:t>
                        </w:r>
                      </w:p>
                    </w:tc>
                  </w:tr>
                  <w:tr w:rsidR="004773B5" w:rsidRPr="00E17247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4773B5" w:rsidRPr="00E17247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3.אחרי סעיף 2טו לחוק העיקרי יבוא;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773B5" w:rsidRPr="00E17247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2טז</w:t>
                        </w:r>
                      </w:p>
                    </w:tc>
                  </w:tr>
                  <w:tr w:rsidR="004773B5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2טז. (א) שר החקלאות רשאי, בצו, להסדיר, להגביל או לאסור גידולם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צמחים מסויימים באזור פלוני לתקופה פלונית כפי שיקבע, במידה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שראה צורך בכך כדי למנוע נגעים או התפשטותם.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תקפו של צו לפי סעיף קטן (א) יפקע בתום 60 יום מיום שניתן,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אושר או לא בוטל בהחלטה של ועדת הכלכלה של הכנסת לפני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התקופה האמורה, ובלבד שהזמן שבין כנסי הכנסת לא יבוא במבין."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"הסדרת גידול</w:t>
                        </w:r>
                      </w:p>
                      <w:p w:rsidR="004773B5" w:rsidRPr="00E17247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צמחים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4773B5" w:rsidRPr="00E17247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4.בסעיף 3 לחוק העיקרי, במקום סעיף קטן (א) יבוא: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החקלאות רשאי, בצו, במידה שראה צורך בכך כדי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נגעים או התפשטותם, לחייב את בעליהם של מקרקעין, של צמחים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מוצרי צמחים ושל אמצעי לוואי, לבצע פעולות ביעור, לרבות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השמדת צמחים ומוצרי צמחים, בין נגועים ובין בלתי נגועים, והשמדת</w:t>
                        </w:r>
                      </w:p>
                      <w:p w:rsidR="004773B5" w:rsidRPr="00E17247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לוואי, למעט מבנים וכלי רכב."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773B5" w:rsidRPr="00E17247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4773B5" w:rsidRPr="00E17247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4773B5" w:rsidRPr="00E17247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5.אחרי סעיף 11 לחוק העיקרי יבוא: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773B5" w:rsidRPr="00E17247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11א</w:t>
                        </w:r>
                      </w:p>
                    </w:tc>
                  </w:tr>
                  <w:tr w:rsidR="004773B5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שר המשטרה רשאי להסמיך, בצו כללי או מיוחד, ולתקופה שלא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12 חדשים, מפקח שנתמנה לפי סעיף 10, לערוך חקירות לשם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עבירות על חוק זה והתקנות שהותקנו על פיו או לשם גילוין, ומפקח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יהא רשאי להשתמש בכל הסמכויות הנתונות לקצין משטרה בדרגת</w:t>
                        </w:r>
                      </w:p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ומעלה לפי סעיף 2 לפקודת הפרוצדורה הפלילית (עדות) 2."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4773B5" w:rsidRPr="00E17247" w:rsidRDefault="00477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"חקירות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773B5" w:rsidRDefault="004773B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73B5" w:rsidRDefault="004773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199" o:spid="_x0000_s1028" type="#_x0000_t202" style="position:absolute;left:0;text-align:left;margin-left:151.9pt;margin-top:68.5pt;width:261.55pt;height:32.25pt;z-index:1;mso-wrap-style:none;mso-position-horizontal-relative:page;mso-position-vertical-relative:page" stroked="f">
            <v:textbox style="mso-next-textbox:#_x0000_s7199" inset="0,0,0,0">
              <w:txbxContent>
                <w:p w:rsidR="004773B5" w:rsidRPr="00E17247" w:rsidRDefault="004773B5">
                  <w:pPr>
                    <w:pStyle w:val="OCRStyle1"/>
                    <w:ind w:left="2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הגנת הצומח (תיקון מס' 2), תש"ל-1970 .</w:t>
                  </w:r>
                </w:p>
              </w:txbxContent>
            </v:textbox>
            <w10:wrap anchorx="page" anchory="page"/>
          </v:shape>
        </w:pict>
      </w:r>
    </w:p>
    <w:p w:rsidR="004773B5" w:rsidRDefault="004773B5">
      <w:pPr>
        <w:rPr>
          <w:rtl/>
        </w:rPr>
      </w:pPr>
      <w:r>
        <w:rPr>
          <w:rtl/>
        </w:rPr>
        <w:br w:type="page"/>
      </w:r>
    </w:p>
    <w:p w:rsidR="004773B5" w:rsidRDefault="00000000">
      <w:pPr>
        <w:rPr>
          <w:rtl/>
        </w:rPr>
      </w:pPr>
      <w:r>
        <w:pict>
          <v:shape id="_x0000_s7200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7200" inset="0,0,0,0">
              <w:txbxContent>
                <w:p w:rsidR="004773B5" w:rsidRDefault="004773B5">
                  <w:r>
                    <w:rPr>
                      <w:rtl/>
                    </w:rPr>
                    <w:t>37                                           ספר החוקים 587                 י"ז באדר ב' התש"ל 25.03.1970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7201" o:spid="_x0000_s1030" type="#_x0000_t202" style="position:absolute;left:0;text-align:left;margin-left:179.1pt;margin-top:239.35pt;width:87.5pt;height:43.75pt;z-index:8;mso-wrap-style:none;mso-position-horizontal-relative:page;mso-position-vertical-relative:page" stroked="f">
            <v:textbox style="mso-next-textbox:#_x0000_s7201" inset="0,0,0,0">
              <w:txbxContent>
                <w:p w:rsidR="004773B5" w:rsidRDefault="004773B5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4773B5" w:rsidRDefault="004773B5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202" o:spid="_x0000_s1031" type="#_x0000_t202" style="position:absolute;left:0;text-align:left;margin-left:292.55pt;margin-top:237.35pt;width:98pt;height:42.55pt;z-index:7;mso-wrap-style:none;mso-position-horizontal-relative:page;mso-position-vertical-relative:page" stroked="f">
            <v:textbox style="mso-next-textbox:#_x0000_s7202" inset="0,0,0,0">
              <w:txbxContent>
                <w:p w:rsidR="004773B5" w:rsidRDefault="004773B5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773B5" w:rsidRDefault="004773B5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203" o:spid="_x0000_s1032" type="#_x0000_t202" style="position:absolute;left:0;text-align:left;margin-left:419.65pt;margin-top:268.65pt;width:123.15pt;height:43.75pt;z-index:6;mso-wrap-style:none;mso-position-horizontal-relative:page;mso-position-vertical-relative:page" stroked="f">
            <v:textbox style="mso-next-textbox:#_x0000_s7203" inset="0,0,0,0">
              <w:txbxContent>
                <w:p w:rsidR="004773B5" w:rsidRDefault="004773B5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4773B5" w:rsidRDefault="004773B5">
                  <w:pPr>
                    <w:pStyle w:val="OCRStyle2"/>
                    <w:ind w:left="6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204" o:spid="_x0000_s1033" type="#_x0000_t202" style="position:absolute;left:0;text-align:left;margin-left:83.05pt;margin-top:64.3pt;width:468.05pt;height:167.7pt;z-index:5;mso-wrap-style:none;mso-position-horizontal-relative:page;mso-position-vertical-relative:page" stroked="f">
            <v:textbox style="mso-next-textbox:#_x0000_s7204" inset="0,0,0,0">
              <w:txbxContent>
                <w:tbl>
                  <w:tblPr>
                    <w:tblW w:w="49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1"/>
                    <w:gridCol w:w="7108"/>
                  </w:tblGrid>
                  <w:tr w:rsidR="004773B5" w:rsidRPr="004773B5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4773B5" w:rsidRPr="004773B5" w:rsidRDefault="004773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4773B5" w:rsidRPr="004773B5" w:rsidRDefault="004773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6.בסעיף 15 לחוק העיקרי -</w:t>
                        </w:r>
                      </w:p>
                    </w:tc>
                  </w:tr>
                  <w:tr w:rsidR="004773B5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4773B5" w:rsidRDefault="004773B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7" w:type="pct"/>
                      </w:tcPr>
                      <w:p w:rsidR="004773B5" w:rsidRDefault="004773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הסעיף יסומן (א) ובסופו יימחקו המלים "ושהיו נקיים מנגעים";</w:t>
                        </w:r>
                      </w:p>
                      <w:p w:rsidR="004773B5" w:rsidRDefault="004773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יבוא;</w:t>
                        </w:r>
                      </w:p>
                      <w:p w:rsidR="004773B5" w:rsidRDefault="004773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הרואה עצמו בפגע מהחלטת שר החקלאות לפי סעיף קטן (א)-</w:t>
                        </w:r>
                      </w:p>
                      <w:p w:rsidR="004773B5" w:rsidRDefault="004773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החלטה שלא להעניק פיצויים בכלל - רשאי לערור לפני ועדת</w:t>
                        </w:r>
                      </w:p>
                      <w:p w:rsidR="004773B5" w:rsidRDefault="004773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שנתמנתה לענין סעיף 2ד על שווי הנזק שנקבע לו.</w:t>
                        </w:r>
                      </w:p>
                      <w:p w:rsidR="004773B5" w:rsidRDefault="004773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הערר רשאית לקבל את הערר, כולו או מקצתו, או</w:t>
                        </w:r>
                      </w:p>
                      <w:p w:rsidR="004773B5" w:rsidRDefault="004773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לדחותו."</w:t>
                        </w:r>
                      </w:p>
                    </w:tc>
                  </w:tr>
                </w:tbl>
                <w:p w:rsidR="004773B5" w:rsidRDefault="004773B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72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52B720-92AB-43B9-8453-80E7C0B1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724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773B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2008-04-09T14:40:00Z</dcterms:created>
  <dcterms:modified xsi:type="dcterms:W3CDTF">2008-04-09T14:40:00Z</dcterms:modified>
</cp:coreProperties>
</file>