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27EB" w:rsidRDefault="005B27EB">
      <w:pPr>
        <w:rPr>
          <w:rtl/>
        </w:rPr>
      </w:pPr>
    </w:p>
    <w:p w:rsidR="005B27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27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279" inset="0,0,0,0">
              <w:txbxContent>
                <w:p w:rsidR="005B27EB" w:rsidRDefault="005B27EB">
                  <w:r>
                    <w:rPr>
                      <w:rtl/>
                    </w:rPr>
                    <w:t>12                                           ספר החוקים 748                  ז' בכסליו התשל"ה 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7280" o:spid="_x0000_s1026" type="#_x0000_t202" style="position:absolute;left:0;text-align:left;margin-left:75.35pt;margin-top:709.3pt;width:185.7pt;height:42.35pt;z-index:7;mso-position-horizontal-relative:page;mso-position-vertical-relative:page" stroked="f">
            <v:textbox style="mso-next-textbox:#_x0000_s7280" inset="0,0,0,0">
              <w:txbxContent>
                <w:p w:rsidR="005B27EB" w:rsidRDefault="005B27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281" o:spid="_x0000_s1027" type="#_x0000_t202" style="position:absolute;left:0;text-align:left;margin-left:82.7pt;margin-top:571.1pt;width:382.55pt;height:53.65pt;z-index:6;mso-position-horizontal-relative:page;mso-position-vertical-relative:page" stroked="f">
            <v:textbox style="mso-next-textbox:#_x0000_s7281" inset="0,0,0,0">
              <w:txbxContent>
                <w:p w:rsidR="005B27EB" w:rsidRDefault="005B27E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בחשון תשל"ה (12 בנובמבר 1974); הצעת החוק ודברי הסבר פורסמו בה"ח 1002, תשל"ב,</w:t>
                  </w:r>
                </w:p>
                <w:p w:rsidR="005B27EB" w:rsidRDefault="005B27EB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עמ' 368.</w:t>
                  </w:r>
                </w:p>
                <w:p w:rsidR="005B27EB" w:rsidRPr="005B27EB" w:rsidRDefault="005B27E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ס"ח תשכ''ז, עמ' 116; תשכ"ט, עמי 16; תשל"א עמ'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282" o:spid="_x0000_s1028" type="#_x0000_t202" style="position:absolute;left:0;text-align:left;margin-left:103.3pt;margin-top:483.6pt;width:103.15pt;height:41.2pt;z-index:5;mso-position-horizontal-relative:page;mso-position-vertical-relative:page" stroked="f">
            <v:textbox style="mso-next-textbox:#_x0000_s7282" inset="0,0,0,0">
              <w:txbxContent>
                <w:p w:rsidR="005B27EB" w:rsidRDefault="005B27EB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5B27EB" w:rsidRDefault="005B27EB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283" o:spid="_x0000_s1029" type="#_x0000_t202" style="position:absolute;left:0;text-align:left;margin-left:228.05pt;margin-top:479.45pt;width:84.55pt;height:46.35pt;z-index:4;mso-position-horizontal-relative:page;mso-position-vertical-relative:page" stroked="f">
            <v:textbox style="mso-next-textbox:#_x0000_s7283" inset="0,0,0,0">
              <w:txbxContent>
                <w:p w:rsidR="005B27EB" w:rsidRDefault="005B27E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B27EB" w:rsidRDefault="005B27EB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84" o:spid="_x0000_s1030" type="#_x0000_t202" style="position:absolute;left:0;text-align:left;margin-left:369.4pt;margin-top:506.15pt;width:107.1pt;height:45.35pt;z-index:3;mso-position-horizontal-relative:page;mso-position-vertical-relative:page" stroked="f">
            <v:textbox style="mso-next-textbox:#_x0000_s7284" inset="0,0,0,0">
              <w:txbxContent>
                <w:p w:rsidR="005B27EB" w:rsidRDefault="005B27EB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B27EB" w:rsidRDefault="005B27EB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85" o:spid="_x0000_s1031" type="#_x0000_t202" style="position:absolute;left:0;text-align:left;margin-left:83.7pt;margin-top:116.5pt;width:468.05pt;height:354.6pt;z-index:2;mso-position-horizontal-relative:page;mso-position-vertical-relative:page" stroked="f">
            <v:textbox style="mso-next-textbox:#_x0000_s72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401"/>
                  </w:tblGrid>
                  <w:tr w:rsidR="005B27EB" w:rsidRPr="005B27EB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5B27EB" w:rsidRDefault="005B27E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האמור בסעיף 20 לחוק ההוצאה לפועל, תשכ"ז-1967 1 (להלן - החוק העיקרי),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כסעיף קטן (א), ואחריו יבוא: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שולם סכום כסף בטעות, תוך כדי הליכי הוצאה לפועל,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ראש ההוצאה לפועל לפי בקשת צד מעונין לתת כל צו לתיקון</w:t>
                        </w:r>
                      </w:p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הטעות; צו כאמור ניתן להוצאה לפועל כאילו היה פסק דין."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5B27EB" w:rsidRPr="005B27EB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22 לחוק העיקרי -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פסקה (4) יבוא: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כלים, מכשירים, מכונות, מיטלטלין אחרים ובעלי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חיים, השייכים לנכה והנחוצים לו לשימושו האישי בגלל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נכותו;"</w:t>
                        </w:r>
                      </w:p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"לפי סעיף קטן (א) (4)" יבוא "ו-(5)".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5B27EB" w:rsidRPr="005B27EB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70 לחוק העיקרי, במקום סעיף קטן (ב) יבוא: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חייב שנאסר לפי פרק זה בשל אי תשלום חוב פסוק, למעט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פסוק הנובע ממזונות לפי סעיף 74, ולא השמיע טענותיו בחקירת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יכולת, יובא תוך שלושה ימים מיום מאסרו לפני יושב ראש ההוצאה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לפועל, ואם נאסר בשל הפסקת תשלום שיעור מן השיעורים שנקבעו -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כאמור, לפי בקשתו, אף אם השמיע קודם לכן טענותיו בחקירת</w:t>
                        </w:r>
                      </w:p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יכולת; הובא החייב כאמור, רשאי ראש ההוצאה לפועל לבטל את צו</w:t>
                        </w:r>
                      </w:p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או להפחית את תקופת המאסר, בתנאים שייראו לו." &lt;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5B27EB" w:rsidRPr="005B27EB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88(1) לחוק העיקרי, אחרי "תשלום האגרות" יבוא "פטור מתשלומן או-</w:t>
                        </w:r>
                      </w:p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תשלומן".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B27EB" w:rsidRPr="005B27EB" w:rsidRDefault="005B27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</w:tbl>
                <w:p w:rsidR="005B27EB" w:rsidRDefault="005B27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286" o:spid="_x0000_s1032" type="#_x0000_t202" style="position:absolute;left:0;text-align:left;margin-left:138.35pt;margin-top:75.1pt;width:307.3pt;height:36.25pt;z-index:1;mso-position-horizontal-relative:page;mso-position-vertical-relative:page" stroked="f">
            <v:textbox style="mso-next-textbox:#_x0000_s7286" inset="0,0,0,0">
              <w:txbxContent>
                <w:p w:rsidR="005B27EB" w:rsidRPr="005B27EB" w:rsidRDefault="005B27EB">
                  <w:pPr>
                    <w:pStyle w:val="OCRStyle1"/>
                    <w:ind w:left="3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ההוצאה לפועל (תיקון מס' 3), תשל"ה-1974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27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9FF64C-46B9-42B1-9878-DCB197A3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27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