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297E" w:rsidRDefault="0092297E">
      <w:pPr>
        <w:rPr>
          <w:rtl/>
        </w:rPr>
      </w:pPr>
    </w:p>
    <w:p w:rsidR="009229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31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311" inset="0,0,0,0">
              <w:txbxContent>
                <w:p w:rsidR="0092297E" w:rsidRDefault="0092297E">
                  <w:r>
                    <w:rPr>
                      <w:rtl/>
                    </w:rPr>
                    <w:t>132                                          ספר החוקים 601                      א' באב התש"ל 03.08.1970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7312" o:spid="_x0000_s1026" type="#_x0000_t202" style="position:absolute;left:0;text-align:left;margin-left:88.75pt;margin-top:559.25pt;width:383.15pt;height:185.15pt;z-index:6;mso-wrap-style:none;mso-position-horizontal-relative:page;mso-position-vertical-relative:page" stroked="f">
            <v:textbox style="mso-next-textbox:#_x0000_s7312" inset="0,0,0,0">
              <w:txbxContent>
                <w:p w:rsidR="0092297E" w:rsidRDefault="0092297E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ביוט כיה בתמוז תשיל (29 ביולי 1970); הצעת החוק ודברי הסבר פורסמו בה"ח 886, תש"ל,</w:t>
                  </w:r>
                </w:p>
                <w:p w:rsidR="0092297E" w:rsidRDefault="0092297E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183.</w:t>
                  </w:r>
                </w:p>
                <w:p w:rsidR="0092297E" w:rsidRDefault="0092297E">
                  <w:pPr>
                    <w:pStyle w:val="OCRStyle1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תשכ"ז, עמ' 142; תשכ"ח/ עמי 162.</w:t>
                  </w:r>
                </w:p>
                <w:p w:rsidR="0092297E" w:rsidRPr="0092297E" w:rsidRDefault="0092297E">
                  <w:pPr>
                    <w:pStyle w:val="OCRStyle1"/>
                    <w:ind w:left="41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313" o:spid="_x0000_s1027" type="#_x0000_t202" style="position:absolute;left:0;text-align:left;margin-left:117.25pt;margin-top:347.6pt;width:86.9pt;height:39.6pt;z-index:5;mso-wrap-style:none;mso-position-horizontal-relative:page;mso-position-vertical-relative:page" stroked="f">
            <v:textbox style="mso-next-textbox:#_x0000_s7313" inset="0,0,0,0">
              <w:txbxContent>
                <w:p w:rsidR="0092297E" w:rsidRDefault="0092297E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92297E" w:rsidRDefault="0092297E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7314" o:spid="_x0000_s1028" type="#_x0000_t202" style="position:absolute;left:0;text-align:left;margin-left:236.05pt;margin-top:350.15pt;width:99pt;height:42.15pt;z-index:4;mso-wrap-style:none;mso-position-horizontal-relative:page;mso-position-vertical-relative:page" stroked="f">
            <v:textbox style="mso-next-textbox:#_x0000_s7314" inset="0,0,0,0">
              <w:txbxContent>
                <w:p w:rsidR="0092297E" w:rsidRDefault="0092297E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2297E" w:rsidRDefault="0092297E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15" o:spid="_x0000_s1029" type="#_x0000_t202" style="position:absolute;left:0;text-align:left;margin-left:350.5pt;margin-top:386.2pt;width:138.6pt;height:52.65pt;z-index:3;mso-wrap-style:none;mso-position-horizontal-relative:page;mso-position-vertical-relative:page" stroked="f">
            <v:textbox style="mso-next-textbox:#_x0000_s7315" inset="0,0,0,0">
              <w:txbxContent>
                <w:p w:rsidR="0092297E" w:rsidRDefault="0092297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2297E" w:rsidRDefault="0092297E">
                  <w:pPr>
                    <w:pStyle w:val="OCRStyle1"/>
                    <w:ind w:left="7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16" o:spid="_x0000_s1030" type="#_x0000_t202" style="position:absolute;left:0;text-align:left;margin-left:85.4pt;margin-top:109.6pt;width:474.4pt;height:204.95pt;z-index:2;mso-wrap-style:none;mso-position-horizontal-relative:page;mso-position-vertical-relative:page" stroked="f">
            <v:textbox style="mso-next-textbox:#_x0000_s7316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9"/>
                    <w:gridCol w:w="1371"/>
                    <w:gridCol w:w="1335"/>
                  </w:tblGrid>
                  <w:tr w:rsidR="0092297E" w:rsidRPr="0092297E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92297E" w:rsidRDefault="0092297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8 לחוק להסדר ההימורים בספורט, תשכ"ז-1967  1(להלן - החוק העיקרי),</w:t>
                        </w:r>
                      </w:p>
                      <w:p w:rsidR="0092297E" w:rsidRPr="0092297E" w:rsidRDefault="009229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2297E" w:rsidRPr="0092297E" w:rsidRDefault="009229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8א</w:t>
                        </w:r>
                      </w:p>
                    </w:tc>
                  </w:tr>
                  <w:tr w:rsidR="0092297E">
                    <w:trPr>
                      <w:jc w:val="right"/>
                    </w:trPr>
                    <w:tc>
                      <w:tcPr>
                        <w:tcW w:w="3431" w:type="pct"/>
                      </w:tcPr>
                      <w:p w:rsidR="0092297E" w:rsidRDefault="009229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המועצה רשאית לבצע את העבודות הברובות בתכנית הימורים</w:t>
                        </w:r>
                      </w:p>
                      <w:p w:rsidR="0092297E" w:rsidRDefault="009229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אחר, על פי הסכם בכתב אתו; הסכם כאמור יהיה לתקופה שלא</w:t>
                        </w:r>
                      </w:p>
                      <w:p w:rsidR="0092297E" w:rsidRDefault="009229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שתי שנים בכל פעם.</w:t>
                        </w:r>
                      </w:p>
                      <w:p w:rsidR="0092297E" w:rsidRDefault="009229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בהסכם כאמור תטיל המועצה על מי שבאמצעותו מתבצעת</w:t>
                        </w:r>
                      </w:p>
                      <w:p w:rsidR="0092297E" w:rsidRDefault="009229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לדווח לה על הביצוע בהתאם לכללים שנקבעו בתקנות."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92297E" w:rsidRPr="0092297E" w:rsidRDefault="009229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עבודות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2297E" w:rsidRDefault="0092297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2297E" w:rsidRPr="0092297E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92297E" w:rsidRDefault="009229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9 (ב) לחוק העיקרי, בסופו יבוא "ורשאית המועצה, באישורים כאמור, לקבוע</w:t>
                        </w:r>
                      </w:p>
                      <w:p w:rsidR="0092297E" w:rsidRDefault="009229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חלק מהיתרה בשנה מסויימת לא יחולק אותה שנה וישמש רזרבה לשנים הבאות-, הרזרבה</w:t>
                        </w:r>
                      </w:p>
                      <w:p w:rsidR="0092297E" w:rsidRPr="0092297E" w:rsidRDefault="009229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תופקד באוצר המדינה בתנאים שיוסכם עליהם בין החשב הכללי והמועצה".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2297E" w:rsidRPr="0092297E" w:rsidRDefault="009229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92297E" w:rsidRPr="0092297E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92297E" w:rsidRPr="0092297E" w:rsidRDefault="009229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סעיף 16 לחוק העיקרי - בטל.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2297E" w:rsidRPr="0092297E" w:rsidRDefault="009229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16</w:t>
                        </w:r>
                      </w:p>
                    </w:tc>
                  </w:tr>
                </w:tbl>
                <w:p w:rsidR="0092297E" w:rsidRDefault="009229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317" o:spid="_x0000_s1031" type="#_x0000_t202" style="position:absolute;left:0;text-align:left;margin-left:112.1pt;margin-top:73.75pt;width:350.25pt;height:30.1pt;z-index:1;mso-wrap-style:none;mso-position-horizontal-relative:page;mso-position-vertical-relative:page" stroked="f">
            <v:textbox style="mso-next-textbox:#_x0000_s7317" inset="0,0,0,0">
              <w:txbxContent>
                <w:p w:rsidR="0092297E" w:rsidRPr="0092297E" w:rsidRDefault="0092297E">
                  <w:pPr>
                    <w:pStyle w:val="OCRStyle1"/>
                    <w:ind w:left="3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להסדר ההימורים בספורט (תיקון מס' 2),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29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6331EB-66F5-467C-9E45-C2942936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297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2008-04-09T14:48:00Z</dcterms:created>
  <dcterms:modified xsi:type="dcterms:W3CDTF">2008-04-09T14:48:00Z</dcterms:modified>
</cp:coreProperties>
</file>